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0D" w:rsidRDefault="003F090D" w:rsidP="00344B1A">
      <w:pPr>
        <w:spacing w:line="240" w:lineRule="auto"/>
        <w:jc w:val="center"/>
        <w:rPr>
          <w:b/>
          <w:color w:val="17365D" w:themeColor="text2" w:themeShade="BF"/>
          <w:sz w:val="24"/>
          <w:u w:val="single"/>
        </w:rPr>
      </w:pPr>
      <w:r>
        <w:rPr>
          <w:b/>
          <w:color w:val="17365D" w:themeColor="text2" w:themeShade="BF"/>
          <w:sz w:val="24"/>
          <w:u w:val="single"/>
        </w:rPr>
        <w:t>Construction Standards Working Group</w:t>
      </w:r>
    </w:p>
    <w:p w:rsidR="003C487B" w:rsidRDefault="000C1D43" w:rsidP="00344B1A">
      <w:pPr>
        <w:spacing w:line="240" w:lineRule="auto"/>
        <w:jc w:val="center"/>
        <w:rPr>
          <w:b/>
          <w:color w:val="17365D" w:themeColor="text2" w:themeShade="BF"/>
          <w:sz w:val="24"/>
          <w:u w:val="single"/>
        </w:rPr>
      </w:pPr>
      <w:r w:rsidRPr="003A0487">
        <w:rPr>
          <w:b/>
          <w:color w:val="17365D" w:themeColor="text2" w:themeShade="BF"/>
          <w:sz w:val="24"/>
          <w:u w:val="single"/>
        </w:rPr>
        <w:t>Notes</w:t>
      </w:r>
      <w:r w:rsidR="003F090D">
        <w:rPr>
          <w:b/>
          <w:color w:val="17365D" w:themeColor="text2" w:themeShade="BF"/>
          <w:sz w:val="24"/>
          <w:u w:val="single"/>
        </w:rPr>
        <w:t xml:space="preserve"> of</w:t>
      </w:r>
      <w:r w:rsidR="003F090D" w:rsidRPr="003F090D">
        <w:rPr>
          <w:b/>
          <w:color w:val="17365D" w:themeColor="text2" w:themeShade="BF"/>
          <w:sz w:val="24"/>
          <w:u w:val="single"/>
        </w:rPr>
        <w:t xml:space="preserve"> </w:t>
      </w:r>
      <w:r w:rsidR="003F090D" w:rsidRPr="003A0487">
        <w:rPr>
          <w:b/>
          <w:color w:val="17365D" w:themeColor="text2" w:themeShade="BF"/>
          <w:sz w:val="24"/>
          <w:u w:val="single"/>
        </w:rPr>
        <w:t>Meeting</w:t>
      </w:r>
      <w:r w:rsidR="003F090D">
        <w:rPr>
          <w:b/>
          <w:color w:val="17365D" w:themeColor="text2" w:themeShade="BF"/>
          <w:sz w:val="24"/>
          <w:u w:val="single"/>
        </w:rPr>
        <w:t xml:space="preserve"> #1</w:t>
      </w:r>
    </w:p>
    <w:p w:rsidR="00300B14" w:rsidRDefault="00300B14" w:rsidP="00344B1A">
      <w:pPr>
        <w:spacing w:line="240" w:lineRule="auto"/>
        <w:jc w:val="center"/>
        <w:rPr>
          <w:b/>
          <w:color w:val="17365D" w:themeColor="text2" w:themeShade="BF"/>
          <w:sz w:val="24"/>
          <w:u w:val="single"/>
        </w:rPr>
      </w:pPr>
    </w:p>
    <w:p w:rsidR="003F090D" w:rsidRDefault="000C1D43" w:rsidP="003B166D">
      <w:pPr>
        <w:spacing w:after="0" w:line="240" w:lineRule="auto"/>
        <w:jc w:val="both"/>
      </w:pPr>
      <w:r w:rsidRPr="0002227E">
        <w:rPr>
          <w:b/>
          <w:bCs/>
        </w:rPr>
        <w:t>Date and time:</w:t>
      </w:r>
      <w:r w:rsidR="00B4323B">
        <w:t xml:space="preserve"> </w:t>
      </w:r>
      <w:r w:rsidR="003F090D">
        <w:t>Tue</w:t>
      </w:r>
      <w:r w:rsidR="00B4323B">
        <w:t xml:space="preserve">sday, </w:t>
      </w:r>
      <w:r w:rsidR="00D93E16">
        <w:t>23</w:t>
      </w:r>
      <w:r w:rsidR="00B4323B">
        <w:t xml:space="preserve"> </w:t>
      </w:r>
      <w:r w:rsidR="00D93E16">
        <w:t>August</w:t>
      </w:r>
      <w:r w:rsidR="002C3B17">
        <w:t>,</w:t>
      </w:r>
      <w:r w:rsidRPr="009027F3">
        <w:t xml:space="preserve"> 201</w:t>
      </w:r>
      <w:r w:rsidR="003F090D">
        <w:t>6</w:t>
      </w:r>
      <w:r w:rsidRPr="009027F3">
        <w:t xml:space="preserve">. 13h00-14h00 </w:t>
      </w:r>
      <w:r w:rsidR="003F090D">
        <w:t xml:space="preserve">UK </w:t>
      </w:r>
      <w:r w:rsidRPr="009027F3">
        <w:t>time</w:t>
      </w:r>
      <w:r>
        <w:t xml:space="preserve">                                </w:t>
      </w:r>
      <w:r>
        <w:tab/>
        <w:t xml:space="preserve">       </w:t>
      </w:r>
    </w:p>
    <w:p w:rsidR="002C3B17" w:rsidRDefault="000C1D43" w:rsidP="003B166D">
      <w:pPr>
        <w:spacing w:after="0" w:line="240" w:lineRule="auto"/>
        <w:jc w:val="both"/>
        <w:rPr>
          <w:color w:val="000000" w:themeColor="text1"/>
        </w:rPr>
      </w:pPr>
      <w:r w:rsidRPr="00F112AF">
        <w:rPr>
          <w:b/>
          <w:bCs/>
        </w:rPr>
        <w:t>Participants</w:t>
      </w:r>
      <w:r w:rsidRPr="00F112AF">
        <w:rPr>
          <w:b/>
          <w:bCs/>
          <w:color w:val="000000" w:themeColor="text1"/>
        </w:rPr>
        <w:t>:</w:t>
      </w:r>
      <w:r w:rsidRPr="00F112AF">
        <w:rPr>
          <w:color w:val="000000" w:themeColor="text1"/>
        </w:rPr>
        <w:t xml:space="preserve"> </w:t>
      </w:r>
      <w:r w:rsidR="003F090D">
        <w:rPr>
          <w:color w:val="000000" w:themeColor="text1"/>
        </w:rPr>
        <w:t>Dominic Courage [Save the Children]; Corinne Treherne [IFRC];</w:t>
      </w:r>
      <w:r w:rsidR="003B166D">
        <w:rPr>
          <w:color w:val="000000" w:themeColor="text1"/>
        </w:rPr>
        <w:t xml:space="preserve"> </w:t>
      </w:r>
      <w:r w:rsidR="00D93E16">
        <w:rPr>
          <w:color w:val="000000" w:themeColor="text1"/>
        </w:rPr>
        <w:t>Shane Copp [IOM]; Lamis Ahmed [</w:t>
      </w:r>
      <w:r w:rsidR="00D93E16" w:rsidRPr="00D93E16">
        <w:rPr>
          <w:color w:val="000000" w:themeColor="text1"/>
        </w:rPr>
        <w:t>Save the Children UK</w:t>
      </w:r>
      <w:r w:rsidR="00D93E16">
        <w:rPr>
          <w:color w:val="000000" w:themeColor="text1"/>
        </w:rPr>
        <w:t>]; Claudia Melani [UNICEF]</w:t>
      </w:r>
    </w:p>
    <w:p w:rsidR="00D93E16" w:rsidRPr="00D93E16" w:rsidRDefault="00D93E16" w:rsidP="003B166D">
      <w:pPr>
        <w:spacing w:after="0" w:line="240" w:lineRule="auto"/>
        <w:jc w:val="both"/>
        <w:rPr>
          <w:b/>
        </w:rPr>
      </w:pPr>
      <w:r>
        <w:rPr>
          <w:b/>
          <w:color w:val="000000" w:themeColor="text1"/>
        </w:rPr>
        <w:t xml:space="preserve">Apologies: </w:t>
      </w:r>
      <w:r>
        <w:rPr>
          <w:color w:val="000000" w:themeColor="text1"/>
        </w:rPr>
        <w:t>Brenda Rose Daniel [World Vision International]</w:t>
      </w:r>
      <w:r>
        <w:rPr>
          <w:color w:val="000000" w:themeColor="text1"/>
        </w:rPr>
        <w:t xml:space="preserve">; Andrew Powell </w:t>
      </w:r>
      <w:r>
        <w:rPr>
          <w:color w:val="000000" w:themeColor="text1"/>
        </w:rPr>
        <w:t>[Save the Children];</w:t>
      </w:r>
    </w:p>
    <w:p w:rsidR="00D464B3" w:rsidRPr="002C3B17" w:rsidRDefault="00D464B3" w:rsidP="00344B1A">
      <w:pPr>
        <w:spacing w:after="0" w:line="240" w:lineRule="auto"/>
        <w:jc w:val="both"/>
        <w:rPr>
          <w:color w:val="000000" w:themeColor="text1"/>
        </w:rPr>
      </w:pPr>
    </w:p>
    <w:p w:rsidR="00D93E16" w:rsidRPr="00D93E16" w:rsidRDefault="00D93E16" w:rsidP="00D93E16">
      <w:pPr>
        <w:spacing w:line="240" w:lineRule="auto"/>
        <w:jc w:val="both"/>
        <w:rPr>
          <w:b/>
          <w:bCs/>
          <w:i/>
          <w:color w:val="17365D" w:themeColor="text2" w:themeShade="BF"/>
        </w:rPr>
      </w:pPr>
      <w:r w:rsidRPr="00D93E16">
        <w:rPr>
          <w:b/>
          <w:bCs/>
          <w:i/>
          <w:color w:val="17365D" w:themeColor="text2" w:themeShade="BF"/>
        </w:rPr>
        <w:t>1.</w:t>
      </w:r>
      <w:r w:rsidRPr="00D93E16">
        <w:rPr>
          <w:b/>
          <w:bCs/>
          <w:i/>
          <w:color w:val="17365D" w:themeColor="text2" w:themeShade="BF"/>
        </w:rPr>
        <w:tab/>
        <w:t>Review of progress against the workplan and any revisions required</w:t>
      </w:r>
    </w:p>
    <w:p w:rsidR="00D93E16" w:rsidRDefault="00D93E16" w:rsidP="00D93E16">
      <w:pPr>
        <w:spacing w:line="240" w:lineRule="auto"/>
        <w:jc w:val="both"/>
        <w:rPr>
          <w:bCs/>
          <w:color w:val="17365D" w:themeColor="text2" w:themeShade="BF"/>
        </w:rPr>
      </w:pPr>
      <w:r w:rsidRPr="00D93E16">
        <w:rPr>
          <w:bCs/>
          <w:color w:val="17365D" w:themeColor="text2" w:themeShade="BF"/>
        </w:rPr>
        <w:t xml:space="preserve">Programme is approximately </w:t>
      </w:r>
      <w:r w:rsidRPr="00D93E16">
        <w:rPr>
          <w:bCs/>
          <w:color w:val="17365D" w:themeColor="text2" w:themeShade="BF"/>
        </w:rPr>
        <w:t xml:space="preserve">1 month in delay. </w:t>
      </w:r>
      <w:r>
        <w:rPr>
          <w:bCs/>
          <w:color w:val="17365D" w:themeColor="text2" w:themeShade="BF"/>
        </w:rPr>
        <w:t xml:space="preserve">The next milestone remains to present a consultation </w:t>
      </w:r>
      <w:r w:rsidRPr="00D93E16">
        <w:rPr>
          <w:bCs/>
          <w:color w:val="17365D" w:themeColor="text2" w:themeShade="BF"/>
        </w:rPr>
        <w:t xml:space="preserve">draft </w:t>
      </w:r>
      <w:r>
        <w:rPr>
          <w:bCs/>
          <w:color w:val="17365D" w:themeColor="text2" w:themeShade="BF"/>
        </w:rPr>
        <w:t>for the S</w:t>
      </w:r>
      <w:r w:rsidRPr="00D93E16">
        <w:rPr>
          <w:bCs/>
          <w:color w:val="17365D" w:themeColor="text2" w:themeShade="BF"/>
        </w:rPr>
        <w:t xml:space="preserve">helter </w:t>
      </w:r>
      <w:r>
        <w:rPr>
          <w:bCs/>
          <w:color w:val="17365D" w:themeColor="text2" w:themeShade="BF"/>
        </w:rPr>
        <w:t>C</w:t>
      </w:r>
      <w:r w:rsidRPr="00D93E16">
        <w:rPr>
          <w:bCs/>
          <w:color w:val="17365D" w:themeColor="text2" w:themeShade="BF"/>
        </w:rPr>
        <w:t xml:space="preserve">luster </w:t>
      </w:r>
      <w:r>
        <w:rPr>
          <w:bCs/>
          <w:color w:val="17365D" w:themeColor="text2" w:themeShade="BF"/>
        </w:rPr>
        <w:t xml:space="preserve">Meeting </w:t>
      </w:r>
      <w:r w:rsidRPr="00D93E16">
        <w:rPr>
          <w:bCs/>
          <w:color w:val="17365D" w:themeColor="text2" w:themeShade="BF"/>
        </w:rPr>
        <w:t>in Geneva.</w:t>
      </w:r>
    </w:p>
    <w:p w:rsidR="00D93E16" w:rsidRPr="00D93E16" w:rsidRDefault="00D93E16" w:rsidP="00D93E16">
      <w:pPr>
        <w:spacing w:line="240" w:lineRule="auto"/>
        <w:jc w:val="both"/>
        <w:rPr>
          <w:bCs/>
          <w:color w:val="17365D" w:themeColor="text2" w:themeShade="BF"/>
        </w:rPr>
      </w:pPr>
      <w:r>
        <w:rPr>
          <w:bCs/>
          <w:color w:val="17365D" w:themeColor="text2" w:themeShade="BF"/>
        </w:rPr>
        <w:t>A revised programme is attached reflecting changes to achieve this and developed understanding of the activities needed.</w:t>
      </w:r>
      <w:r w:rsidRPr="00D93E16">
        <w:rPr>
          <w:bCs/>
          <w:color w:val="17365D" w:themeColor="text2" w:themeShade="BF"/>
        </w:rPr>
        <w:t xml:space="preserve"> </w:t>
      </w:r>
    </w:p>
    <w:p w:rsidR="00D93E16" w:rsidRDefault="00D93E16" w:rsidP="00D93E16">
      <w:pPr>
        <w:spacing w:line="240" w:lineRule="auto"/>
        <w:jc w:val="both"/>
        <w:rPr>
          <w:bCs/>
          <w:color w:val="17365D" w:themeColor="text2" w:themeShade="BF"/>
        </w:rPr>
      </w:pPr>
      <w:r>
        <w:rPr>
          <w:bCs/>
          <w:color w:val="17365D" w:themeColor="text2" w:themeShade="BF"/>
        </w:rPr>
        <w:t xml:space="preserve">DC requested that a slot be arranged for the next </w:t>
      </w:r>
      <w:r w:rsidRPr="00D93E16">
        <w:rPr>
          <w:bCs/>
          <w:color w:val="17365D" w:themeColor="text2" w:themeShade="BF"/>
        </w:rPr>
        <w:t>D</w:t>
      </w:r>
      <w:r>
        <w:rPr>
          <w:bCs/>
          <w:color w:val="17365D" w:themeColor="text2" w:themeShade="BF"/>
        </w:rPr>
        <w:t xml:space="preserve">onor </w:t>
      </w:r>
      <w:r w:rsidRPr="00D93E16">
        <w:rPr>
          <w:bCs/>
          <w:color w:val="17365D" w:themeColor="text2" w:themeShade="BF"/>
        </w:rPr>
        <w:t>C</w:t>
      </w:r>
      <w:r>
        <w:rPr>
          <w:bCs/>
          <w:color w:val="17365D" w:themeColor="text2" w:themeShade="BF"/>
        </w:rPr>
        <w:t xml:space="preserve">onsultation </w:t>
      </w:r>
      <w:r w:rsidRPr="00D93E16">
        <w:rPr>
          <w:bCs/>
          <w:color w:val="17365D" w:themeColor="text2" w:themeShade="BF"/>
        </w:rPr>
        <w:t>G</w:t>
      </w:r>
      <w:r>
        <w:rPr>
          <w:bCs/>
          <w:color w:val="17365D" w:themeColor="text2" w:themeShade="BF"/>
        </w:rPr>
        <w:t>roup</w:t>
      </w:r>
      <w:r w:rsidRPr="00D93E16">
        <w:rPr>
          <w:bCs/>
          <w:color w:val="17365D" w:themeColor="text2" w:themeShade="BF"/>
        </w:rPr>
        <w:t xml:space="preserve"> meeting</w:t>
      </w:r>
      <w:r>
        <w:rPr>
          <w:bCs/>
          <w:color w:val="17365D" w:themeColor="text2" w:themeShade="BF"/>
        </w:rPr>
        <w:t xml:space="preserve"> arranged by the GSC SAG</w:t>
      </w:r>
      <w:r w:rsidRPr="00D93E16">
        <w:rPr>
          <w:bCs/>
          <w:color w:val="17365D" w:themeColor="text2" w:themeShade="BF"/>
        </w:rPr>
        <w:t>.</w:t>
      </w:r>
    </w:p>
    <w:p w:rsidR="00D93E16" w:rsidRPr="00D93E16" w:rsidRDefault="00D93E16" w:rsidP="00D93E16">
      <w:pPr>
        <w:spacing w:line="240" w:lineRule="auto"/>
        <w:jc w:val="both"/>
        <w:rPr>
          <w:b/>
          <w:bCs/>
          <w:i/>
          <w:color w:val="17365D" w:themeColor="text2" w:themeShade="BF"/>
        </w:rPr>
      </w:pPr>
      <w:r>
        <w:rPr>
          <w:bCs/>
          <w:color w:val="17365D" w:themeColor="text2" w:themeShade="BF"/>
        </w:rPr>
        <w:t>The proposed stakeholder survey is currently on hold until there is more clarity on the areas that would need to be covered.</w:t>
      </w:r>
    </w:p>
    <w:p w:rsidR="00D93E16" w:rsidRPr="00D93E16" w:rsidRDefault="00D93E16" w:rsidP="00D93E16">
      <w:pPr>
        <w:spacing w:line="240" w:lineRule="auto"/>
        <w:jc w:val="both"/>
        <w:rPr>
          <w:b/>
          <w:bCs/>
          <w:i/>
          <w:color w:val="17365D" w:themeColor="text2" w:themeShade="BF"/>
        </w:rPr>
      </w:pPr>
      <w:r w:rsidRPr="00D93E16">
        <w:rPr>
          <w:b/>
          <w:bCs/>
          <w:i/>
          <w:color w:val="17365D" w:themeColor="text2" w:themeShade="BF"/>
        </w:rPr>
        <w:t>3.</w:t>
      </w:r>
      <w:r w:rsidRPr="00D93E16">
        <w:rPr>
          <w:b/>
          <w:bCs/>
          <w:i/>
          <w:color w:val="17365D" w:themeColor="text2" w:themeShade="BF"/>
        </w:rPr>
        <w:tab/>
        <w:t xml:space="preserve">Discussion of detailed comments received. </w:t>
      </w:r>
    </w:p>
    <w:p w:rsidR="00D93E16" w:rsidRDefault="00D93E16" w:rsidP="00D93E16">
      <w:pPr>
        <w:spacing w:line="240" w:lineRule="auto"/>
        <w:jc w:val="both"/>
        <w:rPr>
          <w:bCs/>
          <w:color w:val="17365D" w:themeColor="text2" w:themeShade="BF"/>
        </w:rPr>
      </w:pPr>
      <w:r>
        <w:rPr>
          <w:bCs/>
          <w:color w:val="17365D" w:themeColor="text2" w:themeShade="BF"/>
        </w:rPr>
        <w:t>The following major themes from comments received were discussed.</w:t>
      </w:r>
      <w:r w:rsidR="00311429">
        <w:rPr>
          <w:bCs/>
          <w:color w:val="17365D" w:themeColor="text2" w:themeShade="BF"/>
        </w:rPr>
        <w:t xml:space="preserve"> Further detail will separately be sought from the reviewers, but the initial position of the group is summarised below.</w:t>
      </w:r>
      <w:r>
        <w:rPr>
          <w:bCs/>
          <w:color w:val="17365D" w:themeColor="text2" w:themeShade="BF"/>
        </w:rPr>
        <w:t xml:space="preserve"> Other issues </w:t>
      </w:r>
      <w:r w:rsidR="00311429">
        <w:rPr>
          <w:bCs/>
          <w:color w:val="17365D" w:themeColor="text2" w:themeShade="BF"/>
        </w:rPr>
        <w:t>raised</w:t>
      </w:r>
      <w:r>
        <w:rPr>
          <w:bCs/>
          <w:color w:val="17365D" w:themeColor="text2" w:themeShade="BF"/>
        </w:rPr>
        <w:t xml:space="preserve"> will be addressed on a point by point basis in the next revision.</w:t>
      </w:r>
    </w:p>
    <w:p w:rsidR="00D93E16" w:rsidRDefault="00D93E16" w:rsidP="00D93E16">
      <w:pPr>
        <w:pStyle w:val="ListParagraph"/>
        <w:numPr>
          <w:ilvl w:val="0"/>
          <w:numId w:val="17"/>
        </w:numPr>
        <w:spacing w:after="0" w:line="240" w:lineRule="auto"/>
        <w:contextualSpacing w:val="0"/>
        <w:rPr>
          <w:rFonts w:ascii="Calibri" w:hAnsi="Calibri"/>
          <w:b/>
          <w:bCs/>
          <w:color w:val="1F497D"/>
        </w:rPr>
      </w:pPr>
      <w:r>
        <w:rPr>
          <w:rFonts w:ascii="Calibri" w:hAnsi="Calibri"/>
          <w:b/>
          <w:bCs/>
          <w:color w:val="1F497D"/>
        </w:rPr>
        <w:t>Clarity on who the document aims to r</w:t>
      </w:r>
      <w:r>
        <w:rPr>
          <w:rFonts w:ascii="Calibri" w:hAnsi="Calibri"/>
          <w:b/>
          <w:bCs/>
          <w:color w:val="1F497D"/>
        </w:rPr>
        <w:t xml:space="preserve">epresentation. </w:t>
      </w:r>
      <w:r>
        <w:rPr>
          <w:rFonts w:ascii="Calibri" w:hAnsi="Calibri"/>
          <w:color w:val="1F497D"/>
        </w:rPr>
        <w:t>The group agreed that this needs clarifying in the wording. This should reflect that this is a document that is for voluntary self-certification on a project by project basis. Having the GSC badge on it would be highly beneficial but it would not mean that this represents the commitment of the GSC – just that it represents the agreed position on what construction due diligence constitutes. We would definitely aim that this is more than a guide / informational but obviously not defining programming for others.</w:t>
      </w:r>
    </w:p>
    <w:p w:rsidR="00D93E16" w:rsidRDefault="00D93E16" w:rsidP="00D93E16">
      <w:pPr>
        <w:pStyle w:val="ListParagraph"/>
        <w:numPr>
          <w:ilvl w:val="0"/>
          <w:numId w:val="17"/>
        </w:numPr>
        <w:spacing w:after="0" w:line="240" w:lineRule="auto"/>
        <w:contextualSpacing w:val="0"/>
        <w:rPr>
          <w:rFonts w:ascii="Calibri" w:hAnsi="Calibri"/>
          <w:b/>
          <w:bCs/>
          <w:color w:val="1F497D"/>
        </w:rPr>
      </w:pPr>
      <w:r>
        <w:rPr>
          <w:rFonts w:ascii="Calibri" w:hAnsi="Calibri"/>
          <w:b/>
          <w:bCs/>
          <w:color w:val="1F497D"/>
        </w:rPr>
        <w:t xml:space="preserve">Clarity on </w:t>
      </w:r>
      <w:r w:rsidR="00311429">
        <w:rPr>
          <w:rFonts w:ascii="Calibri" w:hAnsi="Calibri"/>
          <w:b/>
          <w:bCs/>
          <w:color w:val="1F497D"/>
        </w:rPr>
        <w:t>a</w:t>
      </w:r>
      <w:r>
        <w:rPr>
          <w:rFonts w:ascii="Calibri" w:hAnsi="Calibri"/>
          <w:b/>
          <w:bCs/>
          <w:color w:val="1F497D"/>
        </w:rPr>
        <w:t xml:space="preserve">udience. </w:t>
      </w:r>
      <w:r>
        <w:rPr>
          <w:rFonts w:ascii="Calibri" w:hAnsi="Calibri"/>
          <w:color w:val="1F497D"/>
        </w:rPr>
        <w:t>The group agreed that the useful audience for this would be as an external facing commitment – particularly for use with donors, to state that a certain proposal  aims to meet these due diligence standards. This would justify the resources requested compared with other bidders. Further, it would act as a useful internal advocacy tool in a number of participating agencies to help raise standards. In the future it may also serve as a cross organisational commitment but we all agreed that we are some distance from that being viable.</w:t>
      </w:r>
    </w:p>
    <w:p w:rsidR="00D93E16" w:rsidRDefault="00311429" w:rsidP="00D93E16">
      <w:pPr>
        <w:pStyle w:val="ListParagraph"/>
        <w:numPr>
          <w:ilvl w:val="0"/>
          <w:numId w:val="17"/>
        </w:numPr>
        <w:spacing w:after="0" w:line="240" w:lineRule="auto"/>
        <w:contextualSpacing w:val="0"/>
        <w:rPr>
          <w:rFonts w:ascii="Calibri" w:hAnsi="Calibri"/>
          <w:b/>
          <w:bCs/>
          <w:color w:val="1F497D"/>
        </w:rPr>
      </w:pPr>
      <w:r>
        <w:rPr>
          <w:rFonts w:ascii="Calibri" w:hAnsi="Calibri"/>
          <w:b/>
          <w:color w:val="1F497D"/>
        </w:rPr>
        <w:t xml:space="preserve">Discussion of the level of </w:t>
      </w:r>
      <w:r>
        <w:rPr>
          <w:rFonts w:ascii="Calibri" w:hAnsi="Calibri"/>
          <w:b/>
          <w:bCs/>
          <w:color w:val="1F497D"/>
        </w:rPr>
        <w:t>c</w:t>
      </w:r>
      <w:r w:rsidR="00D93E16">
        <w:rPr>
          <w:rFonts w:ascii="Calibri" w:hAnsi="Calibri"/>
          <w:b/>
          <w:bCs/>
          <w:color w:val="1F497D"/>
        </w:rPr>
        <w:t>ommitment</w:t>
      </w:r>
      <w:r>
        <w:rPr>
          <w:rFonts w:ascii="Calibri" w:hAnsi="Calibri"/>
          <w:b/>
          <w:bCs/>
          <w:color w:val="1F497D"/>
        </w:rPr>
        <w:t xml:space="preserve"> being made in the document</w:t>
      </w:r>
      <w:r w:rsidR="00D93E16">
        <w:rPr>
          <w:rFonts w:ascii="Calibri" w:hAnsi="Calibri"/>
          <w:b/>
          <w:bCs/>
          <w:color w:val="1F497D"/>
        </w:rPr>
        <w:t xml:space="preserve">. </w:t>
      </w:r>
      <w:r w:rsidR="00D93E16">
        <w:rPr>
          <w:rFonts w:ascii="Calibri" w:hAnsi="Calibri"/>
          <w:color w:val="1F497D"/>
        </w:rPr>
        <w:t>The commitment being made is as mentioned above voluntary. In terms of hard commitments, much of the standards are open to interpretation. The only one that we hope wouldn’t be is that of proper resourcing at &gt;5% of the construction value. We agreed that this needs more definition in terms of what it comprises.</w:t>
      </w:r>
    </w:p>
    <w:p w:rsidR="00D93E16" w:rsidRDefault="00D93E16" w:rsidP="00D93E16">
      <w:pPr>
        <w:pStyle w:val="ListParagraph"/>
        <w:numPr>
          <w:ilvl w:val="0"/>
          <w:numId w:val="17"/>
        </w:numPr>
        <w:spacing w:after="0" w:line="240" w:lineRule="auto"/>
        <w:contextualSpacing w:val="0"/>
        <w:rPr>
          <w:rFonts w:ascii="Calibri" w:hAnsi="Calibri"/>
          <w:b/>
          <w:bCs/>
          <w:color w:val="1F497D"/>
        </w:rPr>
      </w:pPr>
      <w:r>
        <w:rPr>
          <w:rFonts w:ascii="Calibri" w:hAnsi="Calibri"/>
          <w:b/>
          <w:bCs/>
          <w:color w:val="1F497D"/>
        </w:rPr>
        <w:t>Balance</w:t>
      </w:r>
      <w:r w:rsidR="00311429">
        <w:rPr>
          <w:rFonts w:ascii="Calibri" w:hAnsi="Calibri"/>
          <w:b/>
          <w:bCs/>
          <w:color w:val="1F497D"/>
        </w:rPr>
        <w:t xml:space="preserve"> of construction quality </w:t>
      </w:r>
      <w:r>
        <w:rPr>
          <w:rFonts w:ascii="Calibri" w:hAnsi="Calibri"/>
          <w:b/>
          <w:bCs/>
          <w:color w:val="1F497D"/>
        </w:rPr>
        <w:t xml:space="preserve">with </w:t>
      </w:r>
      <w:r w:rsidR="00311429">
        <w:rPr>
          <w:rFonts w:ascii="Calibri" w:hAnsi="Calibri"/>
          <w:b/>
          <w:bCs/>
          <w:color w:val="1F497D"/>
        </w:rPr>
        <w:t>humanitarian imperative</w:t>
      </w:r>
      <w:r>
        <w:rPr>
          <w:rFonts w:ascii="Calibri" w:hAnsi="Calibri"/>
          <w:b/>
          <w:bCs/>
          <w:color w:val="1F497D"/>
        </w:rPr>
        <w:t>.</w:t>
      </w:r>
      <w:r>
        <w:rPr>
          <w:rFonts w:ascii="Calibri" w:hAnsi="Calibri"/>
          <w:color w:val="1F497D"/>
        </w:rPr>
        <w:t xml:space="preserve"> The group liked the language of due diligence since this refers to process standards rather outputs and leaves appropriate flexibility for contextual interpretation.</w:t>
      </w:r>
    </w:p>
    <w:p w:rsidR="00D93E16" w:rsidRPr="00311429" w:rsidRDefault="00D93E16" w:rsidP="00D93E16">
      <w:pPr>
        <w:pStyle w:val="ListParagraph"/>
        <w:numPr>
          <w:ilvl w:val="0"/>
          <w:numId w:val="17"/>
        </w:numPr>
        <w:spacing w:after="0" w:line="240" w:lineRule="auto"/>
        <w:contextualSpacing w:val="0"/>
        <w:rPr>
          <w:rFonts w:ascii="Calibri" w:hAnsi="Calibri"/>
          <w:b/>
          <w:bCs/>
          <w:color w:val="1F497D"/>
        </w:rPr>
      </w:pPr>
      <w:r>
        <w:rPr>
          <w:rFonts w:ascii="Calibri" w:hAnsi="Calibri"/>
          <w:b/>
          <w:bCs/>
          <w:color w:val="1F497D"/>
        </w:rPr>
        <w:lastRenderedPageBreak/>
        <w:t>Scope of construction</w:t>
      </w:r>
      <w:r w:rsidR="00311429">
        <w:rPr>
          <w:rFonts w:ascii="Calibri" w:hAnsi="Calibri"/>
          <w:b/>
          <w:bCs/>
          <w:color w:val="1F497D"/>
        </w:rPr>
        <w:t xml:space="preserve"> being considered</w:t>
      </w:r>
      <w:r>
        <w:rPr>
          <w:rFonts w:ascii="Calibri" w:hAnsi="Calibri"/>
          <w:b/>
          <w:bCs/>
          <w:color w:val="1F497D"/>
        </w:rPr>
        <w:t xml:space="preserve">. </w:t>
      </w:r>
      <w:r>
        <w:rPr>
          <w:rFonts w:ascii="Calibri" w:hAnsi="Calibri"/>
          <w:color w:val="1F497D"/>
        </w:rPr>
        <w:t xml:space="preserve">We agreed that with allowance for appropriate interpretation the aim should be to include all types of simple buildings that NGOs are involved </w:t>
      </w:r>
      <w:r w:rsidR="00311429">
        <w:rPr>
          <w:rFonts w:ascii="Calibri" w:hAnsi="Calibri"/>
          <w:color w:val="1F497D"/>
        </w:rPr>
        <w:t>including</w:t>
      </w:r>
      <w:r>
        <w:rPr>
          <w:rFonts w:ascii="Calibri" w:hAnsi="Calibri"/>
          <w:color w:val="1F497D"/>
        </w:rPr>
        <w:t xml:space="preserve"> temporary structures but excluding infrastructure. Exactly how this is defined is still to come and will no doubt undergo some stress testing as the document evolves. We may need to narrow the scope if there is resistance, the project-based voluntary nature of the document may allow scope to be interpreted voluntarily as well. There was an appetite to ensure that owner-driven construction is partially addressed, possibly by only applying stages A-C (proposal development to design). </w:t>
      </w:r>
      <w:r w:rsidR="00311429">
        <w:rPr>
          <w:rFonts w:ascii="Calibri" w:hAnsi="Calibri"/>
          <w:color w:val="1F497D"/>
        </w:rPr>
        <w:t>#</w:t>
      </w:r>
    </w:p>
    <w:p w:rsidR="00311429" w:rsidRDefault="00311429" w:rsidP="00D93E16">
      <w:pPr>
        <w:pStyle w:val="ListParagraph"/>
        <w:numPr>
          <w:ilvl w:val="0"/>
          <w:numId w:val="17"/>
        </w:numPr>
        <w:spacing w:after="0" w:line="240" w:lineRule="auto"/>
        <w:contextualSpacing w:val="0"/>
        <w:rPr>
          <w:rFonts w:ascii="Calibri" w:hAnsi="Calibri"/>
          <w:b/>
          <w:bCs/>
          <w:color w:val="1F497D"/>
        </w:rPr>
      </w:pPr>
      <w:r>
        <w:rPr>
          <w:rFonts w:ascii="Calibri" w:hAnsi="Calibri"/>
          <w:b/>
          <w:bCs/>
          <w:color w:val="1F497D"/>
        </w:rPr>
        <w:t xml:space="preserve">Application of professional standards. </w:t>
      </w:r>
      <w:r>
        <w:rPr>
          <w:rFonts w:ascii="Calibri" w:hAnsi="Calibri"/>
          <w:bCs/>
          <w:color w:val="1F497D"/>
        </w:rPr>
        <w:t>The group discussed to what extent it was feasible to apply professional standards to the variety of context that the document is trying to address. In general there was agreement that requiring 3</w:t>
      </w:r>
      <w:r w:rsidRPr="00311429">
        <w:rPr>
          <w:rFonts w:ascii="Calibri" w:hAnsi="Calibri"/>
          <w:bCs/>
          <w:color w:val="1F497D"/>
          <w:vertAlign w:val="superscript"/>
        </w:rPr>
        <w:t>rd</w:t>
      </w:r>
      <w:r>
        <w:rPr>
          <w:rFonts w:ascii="Calibri" w:hAnsi="Calibri"/>
          <w:bCs/>
          <w:color w:val="1F497D"/>
        </w:rPr>
        <w:t xml:space="preserve"> party verification of design by a professional other than the immediate designer was a desirable standard to be tested with the review group.</w:t>
      </w:r>
    </w:p>
    <w:p w:rsidR="00D93E16" w:rsidRPr="00D93E16" w:rsidRDefault="00D93E16" w:rsidP="00D93E16">
      <w:pPr>
        <w:spacing w:line="240" w:lineRule="auto"/>
        <w:jc w:val="both"/>
        <w:rPr>
          <w:b/>
          <w:bCs/>
          <w:i/>
          <w:color w:val="17365D" w:themeColor="text2" w:themeShade="BF"/>
        </w:rPr>
      </w:pPr>
    </w:p>
    <w:p w:rsidR="00D93E16" w:rsidRPr="00D93E16" w:rsidRDefault="00D93E16" w:rsidP="00D93E16">
      <w:pPr>
        <w:spacing w:line="240" w:lineRule="auto"/>
        <w:jc w:val="both"/>
        <w:rPr>
          <w:b/>
          <w:bCs/>
          <w:i/>
          <w:color w:val="17365D" w:themeColor="text2" w:themeShade="BF"/>
        </w:rPr>
      </w:pPr>
      <w:r w:rsidRPr="00D93E16">
        <w:rPr>
          <w:b/>
          <w:bCs/>
          <w:i/>
          <w:color w:val="17365D" w:themeColor="text2" w:themeShade="BF"/>
        </w:rPr>
        <w:t>4.</w:t>
      </w:r>
      <w:r w:rsidRPr="00D93E16">
        <w:rPr>
          <w:b/>
          <w:bCs/>
          <w:i/>
          <w:color w:val="17365D" w:themeColor="text2" w:themeShade="BF"/>
        </w:rPr>
        <w:tab/>
        <w:t xml:space="preserve">Engagement planning with the GSC Donor Consultation Group </w:t>
      </w:r>
    </w:p>
    <w:p w:rsidR="00D93E16" w:rsidRPr="00A21C7D" w:rsidRDefault="00A21C7D" w:rsidP="00D93E16">
      <w:pPr>
        <w:spacing w:line="240" w:lineRule="auto"/>
        <w:jc w:val="both"/>
        <w:rPr>
          <w:bCs/>
          <w:color w:val="17365D" w:themeColor="text2" w:themeShade="BF"/>
        </w:rPr>
      </w:pPr>
      <w:r>
        <w:rPr>
          <w:bCs/>
          <w:color w:val="17365D" w:themeColor="text2" w:themeShade="BF"/>
        </w:rPr>
        <w:t xml:space="preserve">DC requested that a slot be arranged for the next </w:t>
      </w:r>
      <w:r w:rsidRPr="00D93E16">
        <w:rPr>
          <w:bCs/>
          <w:color w:val="17365D" w:themeColor="text2" w:themeShade="BF"/>
        </w:rPr>
        <w:t>D</w:t>
      </w:r>
      <w:r>
        <w:rPr>
          <w:bCs/>
          <w:color w:val="17365D" w:themeColor="text2" w:themeShade="BF"/>
        </w:rPr>
        <w:t xml:space="preserve">onor </w:t>
      </w:r>
      <w:r w:rsidRPr="00D93E16">
        <w:rPr>
          <w:bCs/>
          <w:color w:val="17365D" w:themeColor="text2" w:themeShade="BF"/>
        </w:rPr>
        <w:t>C</w:t>
      </w:r>
      <w:r>
        <w:rPr>
          <w:bCs/>
          <w:color w:val="17365D" w:themeColor="text2" w:themeShade="BF"/>
        </w:rPr>
        <w:t xml:space="preserve">onsultation </w:t>
      </w:r>
      <w:r w:rsidRPr="00D93E16">
        <w:rPr>
          <w:bCs/>
          <w:color w:val="17365D" w:themeColor="text2" w:themeShade="BF"/>
        </w:rPr>
        <w:t>G</w:t>
      </w:r>
      <w:r>
        <w:rPr>
          <w:bCs/>
          <w:color w:val="17365D" w:themeColor="text2" w:themeShade="BF"/>
        </w:rPr>
        <w:t>roup</w:t>
      </w:r>
      <w:r w:rsidRPr="00D93E16">
        <w:rPr>
          <w:bCs/>
          <w:color w:val="17365D" w:themeColor="text2" w:themeShade="BF"/>
        </w:rPr>
        <w:t xml:space="preserve"> meeting</w:t>
      </w:r>
      <w:r>
        <w:rPr>
          <w:bCs/>
          <w:color w:val="17365D" w:themeColor="text2" w:themeShade="BF"/>
        </w:rPr>
        <w:t xml:space="preserve"> arranged by the GSC SAG</w:t>
      </w:r>
      <w:r w:rsidRPr="00D93E16">
        <w:rPr>
          <w:bCs/>
          <w:color w:val="17365D" w:themeColor="text2" w:themeShade="BF"/>
        </w:rPr>
        <w:t>.</w:t>
      </w:r>
    </w:p>
    <w:p w:rsidR="00A21C7D" w:rsidRDefault="00A21C7D" w:rsidP="00D93E16">
      <w:pPr>
        <w:spacing w:line="240" w:lineRule="auto"/>
        <w:jc w:val="both"/>
        <w:rPr>
          <w:b/>
          <w:bCs/>
          <w:i/>
          <w:color w:val="17365D" w:themeColor="text2" w:themeShade="BF"/>
        </w:rPr>
      </w:pPr>
      <w:r>
        <w:rPr>
          <w:b/>
          <w:bCs/>
          <w:i/>
          <w:color w:val="17365D" w:themeColor="text2" w:themeShade="BF"/>
        </w:rPr>
        <w:t>6.</w:t>
      </w:r>
      <w:r>
        <w:rPr>
          <w:b/>
          <w:bCs/>
          <w:i/>
          <w:color w:val="17365D" w:themeColor="text2" w:themeShade="BF"/>
        </w:rPr>
        <w:tab/>
        <w:t>Next steps</w:t>
      </w:r>
    </w:p>
    <w:p w:rsidR="00D93E16" w:rsidRDefault="00D93E16" w:rsidP="00D93E16">
      <w:pPr>
        <w:spacing w:line="240" w:lineRule="auto"/>
        <w:jc w:val="both"/>
        <w:rPr>
          <w:b/>
          <w:bCs/>
          <w:i/>
          <w:color w:val="17365D" w:themeColor="text2" w:themeShade="BF"/>
        </w:rPr>
      </w:pPr>
      <w:r w:rsidRPr="00D93E16">
        <w:rPr>
          <w:b/>
          <w:bCs/>
          <w:i/>
          <w:color w:val="17365D" w:themeColor="text2" w:themeShade="BF"/>
        </w:rPr>
        <w:t xml:space="preserve"> - </w:t>
      </w:r>
      <w:r w:rsidR="00A21C7D">
        <w:rPr>
          <w:b/>
          <w:bCs/>
          <w:i/>
          <w:color w:val="17365D" w:themeColor="text2" w:themeShade="BF"/>
        </w:rPr>
        <w:t xml:space="preserve"> Dom to develop an initial draft responding to the initial comments received.</w:t>
      </w:r>
    </w:p>
    <w:p w:rsidR="00A21C7D" w:rsidRDefault="00A21C7D" w:rsidP="00D93E16">
      <w:pPr>
        <w:spacing w:line="240" w:lineRule="auto"/>
        <w:jc w:val="both"/>
        <w:rPr>
          <w:b/>
          <w:bCs/>
          <w:i/>
          <w:color w:val="17365D" w:themeColor="text2" w:themeShade="BF"/>
        </w:rPr>
      </w:pPr>
      <w:r>
        <w:rPr>
          <w:b/>
          <w:bCs/>
          <w:i/>
          <w:color w:val="17365D" w:themeColor="text2" w:themeShade="BF"/>
        </w:rPr>
        <w:t>- Dom, Shane and other willing parties to finalise a consultation draft to be ready for the GSC in October</w:t>
      </w:r>
      <w:bookmarkStart w:id="0" w:name="_GoBack"/>
      <w:bookmarkEnd w:id="0"/>
    </w:p>
    <w:p w:rsidR="00A21C7D" w:rsidRPr="00D93E16" w:rsidRDefault="00A21C7D" w:rsidP="00D93E16">
      <w:pPr>
        <w:spacing w:line="240" w:lineRule="auto"/>
        <w:jc w:val="both"/>
        <w:rPr>
          <w:b/>
          <w:bCs/>
          <w:i/>
          <w:color w:val="17365D" w:themeColor="text2" w:themeShade="BF"/>
        </w:rPr>
      </w:pPr>
      <w:r>
        <w:rPr>
          <w:b/>
          <w:bCs/>
          <w:i/>
          <w:color w:val="17365D" w:themeColor="text2" w:themeShade="BF"/>
        </w:rPr>
        <w:t>- Dom to convene the next meeting to discuss specific points relating to the next draft of the document.</w:t>
      </w:r>
    </w:p>
    <w:p w:rsidR="00727D28" w:rsidRPr="00727D28" w:rsidRDefault="00D93E16" w:rsidP="00A21C7D">
      <w:pPr>
        <w:spacing w:line="240" w:lineRule="auto"/>
        <w:jc w:val="both"/>
        <w:rPr>
          <w:u w:val="single"/>
        </w:rPr>
      </w:pPr>
      <w:r w:rsidRPr="00D93E16">
        <w:rPr>
          <w:b/>
          <w:bCs/>
          <w:i/>
          <w:color w:val="17365D" w:themeColor="text2" w:themeShade="BF"/>
        </w:rPr>
        <w:t xml:space="preserve">    </w:t>
      </w:r>
    </w:p>
    <w:p w:rsidR="00E5570D" w:rsidRPr="00104A9D" w:rsidRDefault="00E5570D" w:rsidP="00E5570D">
      <w:pPr>
        <w:spacing w:line="240" w:lineRule="auto"/>
        <w:jc w:val="both"/>
      </w:pPr>
    </w:p>
    <w:p w:rsidR="00104A9D" w:rsidRDefault="00104A9D" w:rsidP="00224FAC">
      <w:pPr>
        <w:spacing w:line="240" w:lineRule="auto"/>
        <w:jc w:val="both"/>
        <w:rPr>
          <w:b/>
          <w:bCs/>
          <w:color w:val="17365D" w:themeColor="text2" w:themeShade="BF"/>
        </w:rPr>
      </w:pPr>
    </w:p>
    <w:p w:rsidR="00104A9D" w:rsidRPr="00224FAC" w:rsidRDefault="00104A9D" w:rsidP="00224FAC">
      <w:pPr>
        <w:spacing w:line="240" w:lineRule="auto"/>
        <w:jc w:val="both"/>
        <w:rPr>
          <w:b/>
          <w:bCs/>
          <w:color w:val="17365D" w:themeColor="text2" w:themeShade="BF"/>
        </w:rPr>
      </w:pPr>
    </w:p>
    <w:p w:rsidR="008C3E83" w:rsidRPr="008C3E83" w:rsidRDefault="008C3E83" w:rsidP="008C3E83">
      <w:pPr>
        <w:spacing w:line="240" w:lineRule="auto"/>
        <w:jc w:val="both"/>
      </w:pPr>
    </w:p>
    <w:sectPr w:rsidR="008C3E83" w:rsidRPr="008C3E83" w:rsidSect="00F26873">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DC6" w:rsidRDefault="00CA4DC6" w:rsidP="0032379A">
      <w:pPr>
        <w:spacing w:after="0" w:line="240" w:lineRule="auto"/>
      </w:pPr>
      <w:r>
        <w:separator/>
      </w:r>
    </w:p>
  </w:endnote>
  <w:endnote w:type="continuationSeparator" w:id="0">
    <w:p w:rsidR="00CA4DC6" w:rsidRDefault="00CA4DC6" w:rsidP="0032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44254"/>
      <w:docPartObj>
        <w:docPartGallery w:val="Page Numbers (Bottom of Page)"/>
        <w:docPartUnique/>
      </w:docPartObj>
    </w:sdtPr>
    <w:sdtEndPr>
      <w:rPr>
        <w:noProof/>
      </w:rPr>
    </w:sdtEndPr>
    <w:sdtContent>
      <w:p w:rsidR="00880A61" w:rsidRDefault="00880A61">
        <w:pPr>
          <w:pStyle w:val="Footer"/>
          <w:jc w:val="right"/>
        </w:pPr>
        <w:r>
          <w:fldChar w:fldCharType="begin"/>
        </w:r>
        <w:r>
          <w:instrText xml:space="preserve"> PAGE   \* MERGEFORMAT </w:instrText>
        </w:r>
        <w:r>
          <w:fldChar w:fldCharType="separate"/>
        </w:r>
        <w:r w:rsidR="00A21C7D">
          <w:rPr>
            <w:noProof/>
          </w:rPr>
          <w:t>2</w:t>
        </w:r>
        <w:r>
          <w:rPr>
            <w:noProof/>
          </w:rPr>
          <w:fldChar w:fldCharType="end"/>
        </w:r>
      </w:p>
    </w:sdtContent>
  </w:sdt>
  <w:p w:rsidR="00880A61" w:rsidRDefault="00880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DC6" w:rsidRDefault="00CA4DC6" w:rsidP="0032379A">
      <w:pPr>
        <w:spacing w:after="0" w:line="240" w:lineRule="auto"/>
      </w:pPr>
      <w:r>
        <w:separator/>
      </w:r>
    </w:p>
  </w:footnote>
  <w:footnote w:type="continuationSeparator" w:id="0">
    <w:p w:rsidR="00CA4DC6" w:rsidRDefault="00CA4DC6" w:rsidP="0032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61" w:rsidRDefault="00880A61" w:rsidP="003A1607">
    <w:pPr>
      <w:pStyle w:val="Header"/>
      <w:ind w:firstLine="567"/>
      <w:rPr>
        <w:rFonts w:ascii="Verdana" w:hAnsi="Verdana"/>
        <w:sz w:val="14"/>
        <w:szCs w:val="14"/>
      </w:rPr>
    </w:pPr>
    <w:r>
      <w:rPr>
        <w:noProof/>
        <w:lang w:eastAsia="en-GB"/>
      </w:rPr>
      <w:drawing>
        <wp:anchor distT="0" distB="0" distL="114300" distR="114300" simplePos="0" relativeHeight="251658240" behindDoc="0" locked="0" layoutInCell="1" allowOverlap="1" wp14:anchorId="38736FD6" wp14:editId="3F964746">
          <wp:simplePos x="0" y="0"/>
          <wp:positionH relativeFrom="margin">
            <wp:align>left</wp:align>
          </wp:positionH>
          <wp:positionV relativeFrom="paragraph">
            <wp:posOffset>20320</wp:posOffset>
          </wp:positionV>
          <wp:extent cx="320040" cy="280670"/>
          <wp:effectExtent l="0" t="0" r="3810" b="5080"/>
          <wp:wrapSquare wrapText="r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7F1416"/>
        <w:sz w:val="16"/>
        <w:szCs w:val="16"/>
      </w:rPr>
      <w:t>Global Shelter Cluster</w:t>
    </w:r>
  </w:p>
  <w:p w:rsidR="00880A61" w:rsidRDefault="00880A61" w:rsidP="003A1607">
    <w:pPr>
      <w:pStyle w:val="Header"/>
      <w:ind w:firstLine="567"/>
      <w:rPr>
        <w:rFonts w:ascii="Verdana" w:hAnsi="Verdana"/>
        <w:color w:val="7F1416"/>
        <w:sz w:val="12"/>
        <w:szCs w:val="12"/>
      </w:rPr>
    </w:pPr>
    <w:r>
      <w:rPr>
        <w:rFonts w:ascii="Verdana" w:hAnsi="Verdana"/>
        <w:color w:val="7F1416"/>
        <w:sz w:val="12"/>
        <w:szCs w:val="12"/>
      </w:rPr>
      <w:t>ShelterCluster.org</w:t>
    </w:r>
  </w:p>
  <w:p w:rsidR="00880A61" w:rsidRDefault="00880A61" w:rsidP="003A1607">
    <w:pPr>
      <w:pStyle w:val="Header"/>
      <w:ind w:firstLine="567"/>
      <w:rPr>
        <w:rFonts w:ascii="Verdana" w:hAnsi="Verdana"/>
        <w:color w:val="595959"/>
        <w:sz w:val="12"/>
        <w:szCs w:val="12"/>
      </w:rPr>
    </w:pPr>
    <w:r>
      <w:rPr>
        <w:rFonts w:ascii="Verdana" w:hAnsi="Verdana"/>
        <w:color w:val="595959"/>
        <w:sz w:val="12"/>
        <w:szCs w:val="12"/>
      </w:rPr>
      <w:t>Coordinating Humanitarian Shelter</w:t>
    </w:r>
  </w:p>
  <w:p w:rsidR="00880A61" w:rsidRDefault="00880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A03"/>
    <w:multiLevelType w:val="hybridMultilevel"/>
    <w:tmpl w:val="DF626CDE"/>
    <w:lvl w:ilvl="0" w:tplc="26A4D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C51FF0"/>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604835"/>
    <w:multiLevelType w:val="hybridMultilevel"/>
    <w:tmpl w:val="7E90E072"/>
    <w:lvl w:ilvl="0" w:tplc="EA4C190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16FD0ECD"/>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AC10D8E"/>
    <w:multiLevelType w:val="hybridMultilevel"/>
    <w:tmpl w:val="CDB41768"/>
    <w:lvl w:ilvl="0" w:tplc="1448503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B74354B"/>
    <w:multiLevelType w:val="hybridMultilevel"/>
    <w:tmpl w:val="9052F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E33297"/>
    <w:multiLevelType w:val="hybridMultilevel"/>
    <w:tmpl w:val="5F14DDB8"/>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CA0770"/>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8B80648"/>
    <w:multiLevelType w:val="hybridMultilevel"/>
    <w:tmpl w:val="7196E7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640A17"/>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7930D5"/>
    <w:multiLevelType w:val="hybridMultilevel"/>
    <w:tmpl w:val="221E35EE"/>
    <w:lvl w:ilvl="0" w:tplc="D1A411F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nsid w:val="52304BED"/>
    <w:multiLevelType w:val="hybridMultilevel"/>
    <w:tmpl w:val="7D021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6E59D4"/>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2BB7A1B"/>
    <w:multiLevelType w:val="hybridMultilevel"/>
    <w:tmpl w:val="7BCCC8CE"/>
    <w:lvl w:ilvl="0" w:tplc="0B7AC47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BC823BB"/>
    <w:multiLevelType w:val="multilevel"/>
    <w:tmpl w:val="051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485F64"/>
    <w:multiLevelType w:val="hybridMultilevel"/>
    <w:tmpl w:val="1C9C125A"/>
    <w:lvl w:ilvl="0" w:tplc="08090001">
      <w:start w:val="1"/>
      <w:numFmt w:val="bullet"/>
      <w:lvlText w:val=""/>
      <w:lvlJc w:val="left"/>
      <w:pPr>
        <w:ind w:left="360" w:hanging="360"/>
      </w:pPr>
      <w:rPr>
        <w:rFonts w:ascii="Symbol" w:hAnsi="Symbol" w:hint="default"/>
        <w:b/>
        <w:bCs/>
      </w:rPr>
    </w:lvl>
    <w:lvl w:ilvl="1" w:tplc="0809000F">
      <w:start w:val="1"/>
      <w:numFmt w:val="decimal"/>
      <w:lvlText w:val="%2."/>
      <w:lvlJc w:val="left"/>
      <w:pPr>
        <w:ind w:left="1080" w:hanging="360"/>
      </w:pPr>
      <w:rPr>
        <w:rFonts w:hint="default"/>
        <w:b w:val="0"/>
        <w:bCs w:val="0"/>
        <w:i w:val="0"/>
        <w:iCs w:val="0"/>
      </w:rPr>
    </w:lvl>
    <w:lvl w:ilvl="2" w:tplc="48380B48">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F651911"/>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14"/>
  </w:num>
  <w:num w:numId="5">
    <w:abstractNumId w:val="1"/>
  </w:num>
  <w:num w:numId="6">
    <w:abstractNumId w:val="16"/>
  </w:num>
  <w:num w:numId="7">
    <w:abstractNumId w:val="13"/>
  </w:num>
  <w:num w:numId="8">
    <w:abstractNumId w:val="15"/>
  </w:num>
  <w:num w:numId="9">
    <w:abstractNumId w:val="3"/>
  </w:num>
  <w:num w:numId="10">
    <w:abstractNumId w:val="2"/>
  </w:num>
  <w:num w:numId="11">
    <w:abstractNumId w:val="12"/>
  </w:num>
  <w:num w:numId="12">
    <w:abstractNumId w:val="7"/>
  </w:num>
  <w:num w:numId="13">
    <w:abstractNumId w:val="10"/>
  </w:num>
  <w:num w:numId="14">
    <w:abstractNumId w:val="5"/>
  </w:num>
  <w:num w:numId="15">
    <w:abstractNumId w:val="0"/>
  </w:num>
  <w:num w:numId="16">
    <w:abstractNumId w:val="11"/>
  </w:num>
  <w:num w:numId="1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B5"/>
    <w:rsid w:val="00004D7B"/>
    <w:rsid w:val="000110AC"/>
    <w:rsid w:val="00054679"/>
    <w:rsid w:val="00057117"/>
    <w:rsid w:val="00060FCD"/>
    <w:rsid w:val="0006190B"/>
    <w:rsid w:val="000771A1"/>
    <w:rsid w:val="00093C3D"/>
    <w:rsid w:val="0009565C"/>
    <w:rsid w:val="0009642B"/>
    <w:rsid w:val="000A76B0"/>
    <w:rsid w:val="000C1D43"/>
    <w:rsid w:val="000D763F"/>
    <w:rsid w:val="000E3807"/>
    <w:rsid w:val="00104A9D"/>
    <w:rsid w:val="00125DB5"/>
    <w:rsid w:val="00133D73"/>
    <w:rsid w:val="00140ABF"/>
    <w:rsid w:val="0014622A"/>
    <w:rsid w:val="00160CAA"/>
    <w:rsid w:val="00165345"/>
    <w:rsid w:val="00191146"/>
    <w:rsid w:val="00195A90"/>
    <w:rsid w:val="00197771"/>
    <w:rsid w:val="001A1ACE"/>
    <w:rsid w:val="00224FAC"/>
    <w:rsid w:val="0023603C"/>
    <w:rsid w:val="002426EF"/>
    <w:rsid w:val="0028784F"/>
    <w:rsid w:val="002901F5"/>
    <w:rsid w:val="00292D61"/>
    <w:rsid w:val="0029540E"/>
    <w:rsid w:val="002A12C2"/>
    <w:rsid w:val="002A5ABB"/>
    <w:rsid w:val="002B7045"/>
    <w:rsid w:val="002C3B17"/>
    <w:rsid w:val="002D1408"/>
    <w:rsid w:val="002F3F0A"/>
    <w:rsid w:val="00300B14"/>
    <w:rsid w:val="00304DC4"/>
    <w:rsid w:val="00311429"/>
    <w:rsid w:val="0032379A"/>
    <w:rsid w:val="003359AA"/>
    <w:rsid w:val="00344B1A"/>
    <w:rsid w:val="00352FC0"/>
    <w:rsid w:val="003577D9"/>
    <w:rsid w:val="00362F66"/>
    <w:rsid w:val="00366798"/>
    <w:rsid w:val="00371142"/>
    <w:rsid w:val="003818D0"/>
    <w:rsid w:val="00392EBB"/>
    <w:rsid w:val="0039332E"/>
    <w:rsid w:val="00395EE3"/>
    <w:rsid w:val="003A0487"/>
    <w:rsid w:val="003A1607"/>
    <w:rsid w:val="003A2C74"/>
    <w:rsid w:val="003A5A4A"/>
    <w:rsid w:val="003A6730"/>
    <w:rsid w:val="003B166D"/>
    <w:rsid w:val="003B27C7"/>
    <w:rsid w:val="003B4774"/>
    <w:rsid w:val="003B5B69"/>
    <w:rsid w:val="003B71C2"/>
    <w:rsid w:val="003C487B"/>
    <w:rsid w:val="003C5449"/>
    <w:rsid w:val="003D0A67"/>
    <w:rsid w:val="003E15A5"/>
    <w:rsid w:val="003F090D"/>
    <w:rsid w:val="00420861"/>
    <w:rsid w:val="004512B1"/>
    <w:rsid w:val="00457BA8"/>
    <w:rsid w:val="00496FDB"/>
    <w:rsid w:val="004A075D"/>
    <w:rsid w:val="004A4A70"/>
    <w:rsid w:val="004B47D8"/>
    <w:rsid w:val="004B570C"/>
    <w:rsid w:val="004D2053"/>
    <w:rsid w:val="004E3CF9"/>
    <w:rsid w:val="0051425E"/>
    <w:rsid w:val="00517631"/>
    <w:rsid w:val="005407AD"/>
    <w:rsid w:val="00584BA3"/>
    <w:rsid w:val="005A2DA5"/>
    <w:rsid w:val="005A3667"/>
    <w:rsid w:val="005B16A7"/>
    <w:rsid w:val="005E2E8C"/>
    <w:rsid w:val="005F5DC2"/>
    <w:rsid w:val="00620FF0"/>
    <w:rsid w:val="00660644"/>
    <w:rsid w:val="0068278B"/>
    <w:rsid w:val="006F7EF6"/>
    <w:rsid w:val="00700BE0"/>
    <w:rsid w:val="00711B71"/>
    <w:rsid w:val="00712C86"/>
    <w:rsid w:val="00727D28"/>
    <w:rsid w:val="00741045"/>
    <w:rsid w:val="00743CC8"/>
    <w:rsid w:val="00747590"/>
    <w:rsid w:val="00766BBC"/>
    <w:rsid w:val="00786719"/>
    <w:rsid w:val="007908E7"/>
    <w:rsid w:val="00794E43"/>
    <w:rsid w:val="00795AF1"/>
    <w:rsid w:val="007B7B9A"/>
    <w:rsid w:val="007D555B"/>
    <w:rsid w:val="007E4345"/>
    <w:rsid w:val="007E4F26"/>
    <w:rsid w:val="007F3F6A"/>
    <w:rsid w:val="00801419"/>
    <w:rsid w:val="00862AEB"/>
    <w:rsid w:val="00866D5F"/>
    <w:rsid w:val="0087399F"/>
    <w:rsid w:val="00877A9F"/>
    <w:rsid w:val="00880A61"/>
    <w:rsid w:val="008A0D1E"/>
    <w:rsid w:val="008B4C5B"/>
    <w:rsid w:val="008C2F14"/>
    <w:rsid w:val="008C3E83"/>
    <w:rsid w:val="008E0B09"/>
    <w:rsid w:val="008E1041"/>
    <w:rsid w:val="008E577E"/>
    <w:rsid w:val="00901F1B"/>
    <w:rsid w:val="00935E31"/>
    <w:rsid w:val="009377A5"/>
    <w:rsid w:val="009530BC"/>
    <w:rsid w:val="0097370C"/>
    <w:rsid w:val="009811DF"/>
    <w:rsid w:val="0099435E"/>
    <w:rsid w:val="00994511"/>
    <w:rsid w:val="00996162"/>
    <w:rsid w:val="00996F52"/>
    <w:rsid w:val="009A2CF8"/>
    <w:rsid w:val="009B0624"/>
    <w:rsid w:val="009B13EA"/>
    <w:rsid w:val="009C1D70"/>
    <w:rsid w:val="009D515C"/>
    <w:rsid w:val="00A015BB"/>
    <w:rsid w:val="00A01BF5"/>
    <w:rsid w:val="00A13F56"/>
    <w:rsid w:val="00A21C7D"/>
    <w:rsid w:val="00A27855"/>
    <w:rsid w:val="00A32DAF"/>
    <w:rsid w:val="00A37A0C"/>
    <w:rsid w:val="00A673DC"/>
    <w:rsid w:val="00A854FF"/>
    <w:rsid w:val="00AA3956"/>
    <w:rsid w:val="00AA5CDD"/>
    <w:rsid w:val="00AA5F7C"/>
    <w:rsid w:val="00AB2431"/>
    <w:rsid w:val="00AB7337"/>
    <w:rsid w:val="00AC12D4"/>
    <w:rsid w:val="00AF27B4"/>
    <w:rsid w:val="00AF4AB9"/>
    <w:rsid w:val="00B03D4C"/>
    <w:rsid w:val="00B14C32"/>
    <w:rsid w:val="00B31949"/>
    <w:rsid w:val="00B3626A"/>
    <w:rsid w:val="00B4323B"/>
    <w:rsid w:val="00B50093"/>
    <w:rsid w:val="00B504AE"/>
    <w:rsid w:val="00B53EFB"/>
    <w:rsid w:val="00B72D1A"/>
    <w:rsid w:val="00B813C4"/>
    <w:rsid w:val="00B842B5"/>
    <w:rsid w:val="00B8788A"/>
    <w:rsid w:val="00B91987"/>
    <w:rsid w:val="00B94664"/>
    <w:rsid w:val="00B94F34"/>
    <w:rsid w:val="00B97694"/>
    <w:rsid w:val="00BB73BD"/>
    <w:rsid w:val="00BE1050"/>
    <w:rsid w:val="00BF32A0"/>
    <w:rsid w:val="00C02152"/>
    <w:rsid w:val="00C079B6"/>
    <w:rsid w:val="00C07F57"/>
    <w:rsid w:val="00C21DB9"/>
    <w:rsid w:val="00C25ABF"/>
    <w:rsid w:val="00C2645F"/>
    <w:rsid w:val="00C838F1"/>
    <w:rsid w:val="00C959AC"/>
    <w:rsid w:val="00CA34EE"/>
    <w:rsid w:val="00CA4DC6"/>
    <w:rsid w:val="00CB04A4"/>
    <w:rsid w:val="00CB4A20"/>
    <w:rsid w:val="00CC7CA0"/>
    <w:rsid w:val="00CE2FBA"/>
    <w:rsid w:val="00CF2DC7"/>
    <w:rsid w:val="00D015E9"/>
    <w:rsid w:val="00D11BB4"/>
    <w:rsid w:val="00D464B3"/>
    <w:rsid w:val="00D668A0"/>
    <w:rsid w:val="00D669C4"/>
    <w:rsid w:val="00D76B80"/>
    <w:rsid w:val="00D93E16"/>
    <w:rsid w:val="00D97761"/>
    <w:rsid w:val="00DA6F89"/>
    <w:rsid w:val="00DB55E3"/>
    <w:rsid w:val="00DC573A"/>
    <w:rsid w:val="00DE5AF1"/>
    <w:rsid w:val="00DF6F1E"/>
    <w:rsid w:val="00E25873"/>
    <w:rsid w:val="00E3250B"/>
    <w:rsid w:val="00E5570D"/>
    <w:rsid w:val="00E6390E"/>
    <w:rsid w:val="00E91824"/>
    <w:rsid w:val="00E96CD5"/>
    <w:rsid w:val="00EA75F3"/>
    <w:rsid w:val="00EE7373"/>
    <w:rsid w:val="00F112AF"/>
    <w:rsid w:val="00F26873"/>
    <w:rsid w:val="00F43275"/>
    <w:rsid w:val="00F57D79"/>
    <w:rsid w:val="00FB0A73"/>
    <w:rsid w:val="00FB496D"/>
    <w:rsid w:val="00FB7412"/>
    <w:rsid w:val="00FC1044"/>
    <w:rsid w:val="00FE02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0547">
      <w:bodyDiv w:val="1"/>
      <w:marLeft w:val="0"/>
      <w:marRight w:val="0"/>
      <w:marTop w:val="0"/>
      <w:marBottom w:val="0"/>
      <w:divBdr>
        <w:top w:val="none" w:sz="0" w:space="0" w:color="auto"/>
        <w:left w:val="none" w:sz="0" w:space="0" w:color="auto"/>
        <w:bottom w:val="none" w:sz="0" w:space="0" w:color="auto"/>
        <w:right w:val="none" w:sz="0" w:space="0" w:color="auto"/>
      </w:divBdr>
    </w:div>
    <w:div w:id="569392508">
      <w:bodyDiv w:val="1"/>
      <w:marLeft w:val="0"/>
      <w:marRight w:val="0"/>
      <w:marTop w:val="0"/>
      <w:marBottom w:val="0"/>
      <w:divBdr>
        <w:top w:val="none" w:sz="0" w:space="0" w:color="auto"/>
        <w:left w:val="none" w:sz="0" w:space="0" w:color="auto"/>
        <w:bottom w:val="none" w:sz="0" w:space="0" w:color="auto"/>
        <w:right w:val="none" w:sz="0" w:space="0" w:color="auto"/>
      </w:divBdr>
    </w:div>
    <w:div w:id="1097092077">
      <w:bodyDiv w:val="1"/>
      <w:marLeft w:val="0"/>
      <w:marRight w:val="0"/>
      <w:marTop w:val="0"/>
      <w:marBottom w:val="0"/>
      <w:divBdr>
        <w:top w:val="none" w:sz="0" w:space="0" w:color="auto"/>
        <w:left w:val="none" w:sz="0" w:space="0" w:color="auto"/>
        <w:bottom w:val="none" w:sz="0" w:space="0" w:color="auto"/>
        <w:right w:val="none" w:sz="0" w:space="0" w:color="auto"/>
      </w:divBdr>
    </w:div>
    <w:div w:id="1537036139">
      <w:bodyDiv w:val="1"/>
      <w:marLeft w:val="0"/>
      <w:marRight w:val="0"/>
      <w:marTop w:val="0"/>
      <w:marBottom w:val="0"/>
      <w:divBdr>
        <w:top w:val="none" w:sz="0" w:space="0" w:color="auto"/>
        <w:left w:val="none" w:sz="0" w:space="0" w:color="auto"/>
        <w:bottom w:val="none" w:sz="0" w:space="0" w:color="auto"/>
        <w:right w:val="none" w:sz="0" w:space="0" w:color="auto"/>
      </w:divBdr>
    </w:div>
    <w:div w:id="1714768097">
      <w:bodyDiv w:val="1"/>
      <w:marLeft w:val="0"/>
      <w:marRight w:val="0"/>
      <w:marTop w:val="0"/>
      <w:marBottom w:val="0"/>
      <w:divBdr>
        <w:top w:val="none" w:sz="0" w:space="0" w:color="auto"/>
        <w:left w:val="none" w:sz="0" w:space="0" w:color="auto"/>
        <w:bottom w:val="none" w:sz="0" w:space="0" w:color="auto"/>
        <w:right w:val="none" w:sz="0" w:space="0" w:color="auto"/>
      </w:divBdr>
    </w:div>
    <w:div w:id="1744568695">
      <w:bodyDiv w:val="1"/>
      <w:marLeft w:val="0"/>
      <w:marRight w:val="0"/>
      <w:marTop w:val="0"/>
      <w:marBottom w:val="0"/>
      <w:divBdr>
        <w:top w:val="none" w:sz="0" w:space="0" w:color="auto"/>
        <w:left w:val="none" w:sz="0" w:space="0" w:color="auto"/>
        <w:bottom w:val="none" w:sz="0" w:space="0" w:color="auto"/>
        <w:right w:val="none" w:sz="0" w:space="0" w:color="auto"/>
      </w:divBdr>
    </w:div>
    <w:div w:id="1777097147">
      <w:bodyDiv w:val="1"/>
      <w:marLeft w:val="0"/>
      <w:marRight w:val="0"/>
      <w:marTop w:val="0"/>
      <w:marBottom w:val="0"/>
      <w:divBdr>
        <w:top w:val="none" w:sz="0" w:space="0" w:color="auto"/>
        <w:left w:val="none" w:sz="0" w:space="0" w:color="auto"/>
        <w:bottom w:val="none" w:sz="0" w:space="0" w:color="auto"/>
        <w:right w:val="none" w:sz="0" w:space="0" w:color="auto"/>
      </w:divBdr>
    </w:div>
    <w:div w:id="2084837791">
      <w:bodyDiv w:val="1"/>
      <w:marLeft w:val="0"/>
      <w:marRight w:val="0"/>
      <w:marTop w:val="0"/>
      <w:marBottom w:val="0"/>
      <w:divBdr>
        <w:top w:val="none" w:sz="0" w:space="0" w:color="auto"/>
        <w:left w:val="none" w:sz="0" w:space="0" w:color="auto"/>
        <w:bottom w:val="none" w:sz="0" w:space="0" w:color="auto"/>
        <w:right w:val="none" w:sz="0" w:space="0" w:color="auto"/>
      </w:divBdr>
    </w:div>
    <w:div w:id="2087531498">
      <w:bodyDiv w:val="1"/>
      <w:marLeft w:val="0"/>
      <w:marRight w:val="0"/>
      <w:marTop w:val="0"/>
      <w:marBottom w:val="0"/>
      <w:divBdr>
        <w:top w:val="none" w:sz="0" w:space="0" w:color="auto"/>
        <w:left w:val="none" w:sz="0" w:space="0" w:color="auto"/>
        <w:bottom w:val="none" w:sz="0" w:space="0" w:color="auto"/>
        <w:right w:val="none" w:sz="0" w:space="0" w:color="auto"/>
      </w:divBdr>
    </w:div>
    <w:div w:id="2088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EF0F6-66E5-4477-8529-580A43892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Dominic Courage</cp:lastModifiedBy>
  <cp:revision>2</cp:revision>
  <cp:lastPrinted>2016-02-29T15:15:00Z</cp:lastPrinted>
  <dcterms:created xsi:type="dcterms:W3CDTF">2016-08-31T21:32:00Z</dcterms:created>
  <dcterms:modified xsi:type="dcterms:W3CDTF">2016-08-31T21:32:00Z</dcterms:modified>
</cp:coreProperties>
</file>