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C479" w14:textId="77E3A0EC" w:rsidR="00D45FF5" w:rsidRPr="00C431EF" w:rsidRDefault="00A0441D" w:rsidP="00C30F8C">
      <w:pPr>
        <w:spacing w:line="240" w:lineRule="auto"/>
        <w:rPr>
          <w:sz w:val="20"/>
          <w:szCs w:val="20"/>
        </w:rPr>
      </w:pPr>
      <w:r w:rsidRPr="00C431EF">
        <w:rPr>
          <w:b/>
          <w:sz w:val="20"/>
          <w:szCs w:val="20"/>
        </w:rPr>
        <w:t>Participants:</w:t>
      </w:r>
      <w:r w:rsidR="001D7CDF" w:rsidRPr="00C431EF">
        <w:rPr>
          <w:sz w:val="20"/>
          <w:szCs w:val="20"/>
        </w:rPr>
        <w:t xml:space="preserve"> </w:t>
      </w:r>
      <w:r w:rsidR="00915F2C">
        <w:rPr>
          <w:sz w:val="20"/>
          <w:szCs w:val="20"/>
        </w:rPr>
        <w:t>MEDAIR, IFRC, IOM, HI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1559"/>
        <w:gridCol w:w="1134"/>
      </w:tblGrid>
      <w:tr w:rsidR="00D45FF5" w:rsidRPr="00C431EF" w14:paraId="0C8F9D08" w14:textId="77777777" w:rsidTr="006F4973">
        <w:tc>
          <w:tcPr>
            <w:tcW w:w="6374" w:type="dxa"/>
          </w:tcPr>
          <w:p w14:paraId="16CD3EC9" w14:textId="77777777" w:rsidR="00D45FF5" w:rsidRPr="00C431EF" w:rsidRDefault="00D45FF5" w:rsidP="00C30F8C">
            <w:pPr>
              <w:rPr>
                <w:i/>
                <w:sz w:val="20"/>
                <w:szCs w:val="20"/>
              </w:rPr>
            </w:pPr>
            <w:r w:rsidRPr="00C431EF">
              <w:rPr>
                <w:i/>
                <w:sz w:val="20"/>
                <w:szCs w:val="20"/>
              </w:rPr>
              <w:t>Action point</w:t>
            </w:r>
          </w:p>
        </w:tc>
        <w:tc>
          <w:tcPr>
            <w:tcW w:w="1559" w:type="dxa"/>
          </w:tcPr>
          <w:p w14:paraId="5AEE5CFD" w14:textId="77777777" w:rsidR="00D45FF5" w:rsidRPr="00C431EF" w:rsidRDefault="00D45FF5" w:rsidP="00C30F8C">
            <w:pPr>
              <w:rPr>
                <w:i/>
                <w:sz w:val="20"/>
                <w:szCs w:val="20"/>
              </w:rPr>
            </w:pPr>
            <w:r w:rsidRPr="00C431EF">
              <w:rPr>
                <w:i/>
                <w:sz w:val="20"/>
                <w:szCs w:val="20"/>
              </w:rPr>
              <w:t>Responsible</w:t>
            </w:r>
          </w:p>
        </w:tc>
        <w:tc>
          <w:tcPr>
            <w:tcW w:w="1134" w:type="dxa"/>
          </w:tcPr>
          <w:p w14:paraId="05724A0E" w14:textId="77777777" w:rsidR="00D45FF5" w:rsidRPr="00C431EF" w:rsidRDefault="00D45FF5" w:rsidP="00C30F8C">
            <w:pPr>
              <w:rPr>
                <w:i/>
                <w:sz w:val="20"/>
                <w:szCs w:val="20"/>
              </w:rPr>
            </w:pPr>
            <w:r w:rsidRPr="00C431EF">
              <w:rPr>
                <w:i/>
                <w:sz w:val="20"/>
                <w:szCs w:val="20"/>
              </w:rPr>
              <w:t>Date</w:t>
            </w:r>
          </w:p>
        </w:tc>
      </w:tr>
      <w:tr w:rsidR="00915F2C" w:rsidRPr="00C431EF" w14:paraId="00B48A78" w14:textId="77777777" w:rsidTr="006F4973">
        <w:tc>
          <w:tcPr>
            <w:tcW w:w="6374" w:type="dxa"/>
          </w:tcPr>
          <w:p w14:paraId="3EDBC57F" w14:textId="66D21881" w:rsidR="00915F2C" w:rsidRPr="00915F2C" w:rsidRDefault="00A05B57" w:rsidP="0010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to </w:t>
            </w:r>
            <w:r w:rsidR="00105E4D">
              <w:rPr>
                <w:sz w:val="20"/>
                <w:szCs w:val="20"/>
              </w:rPr>
              <w:t>draft</w:t>
            </w:r>
            <w:r>
              <w:rPr>
                <w:sz w:val="20"/>
                <w:szCs w:val="20"/>
              </w:rPr>
              <w:t xml:space="preserve"> </w:t>
            </w:r>
            <w:r w:rsidR="00105E4D">
              <w:rPr>
                <w:sz w:val="20"/>
                <w:szCs w:val="20"/>
              </w:rPr>
              <w:t>response strategy and share with partners</w:t>
            </w:r>
          </w:p>
        </w:tc>
        <w:tc>
          <w:tcPr>
            <w:tcW w:w="1559" w:type="dxa"/>
          </w:tcPr>
          <w:p w14:paraId="10345EE6" w14:textId="0891411A" w:rsidR="00915F2C" w:rsidRPr="00A05B57" w:rsidRDefault="00A05B57" w:rsidP="00C3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134" w:type="dxa"/>
          </w:tcPr>
          <w:p w14:paraId="44295527" w14:textId="477B395E" w:rsidR="00915F2C" w:rsidRPr="00A05B57" w:rsidRDefault="00A05B57" w:rsidP="00C3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29/9</w:t>
            </w:r>
          </w:p>
        </w:tc>
      </w:tr>
    </w:tbl>
    <w:p w14:paraId="7B9C2199" w14:textId="77777777" w:rsidR="00D45FF5" w:rsidRPr="00C431EF" w:rsidRDefault="00D45FF5" w:rsidP="00C30F8C">
      <w:pPr>
        <w:spacing w:after="0" w:line="240" w:lineRule="auto"/>
        <w:rPr>
          <w:sz w:val="20"/>
          <w:szCs w:val="20"/>
        </w:rPr>
      </w:pPr>
    </w:p>
    <w:p w14:paraId="62E74AD1" w14:textId="3052E3A9" w:rsidR="00B50DF7" w:rsidRPr="00A05B57" w:rsidRDefault="005660CB" w:rsidP="00C30F8C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</w:rPr>
      </w:pPr>
      <w:r w:rsidRPr="00A05B57">
        <w:rPr>
          <w:b/>
        </w:rPr>
        <w:t>Partner capacity</w:t>
      </w:r>
      <w:r w:rsidR="00D847D3" w:rsidRPr="00A05B57">
        <w:rPr>
          <w:b/>
        </w:rPr>
        <w:t xml:space="preserve"> update</w:t>
      </w:r>
      <w:r w:rsidRPr="00A05B57">
        <w:rPr>
          <w:b/>
        </w:rPr>
        <w:t>s</w:t>
      </w:r>
    </w:p>
    <w:p w14:paraId="728F292F" w14:textId="33B5A8C3" w:rsidR="003A257E" w:rsidRPr="00A05B57" w:rsidRDefault="00915F2C" w:rsidP="00307EAB">
      <w:pPr>
        <w:pStyle w:val="ListParagraph"/>
        <w:numPr>
          <w:ilvl w:val="1"/>
          <w:numId w:val="1"/>
        </w:numPr>
        <w:spacing w:line="240" w:lineRule="auto"/>
      </w:pPr>
      <w:r w:rsidRPr="00A05B57">
        <w:t xml:space="preserve">IOM’s CERF submission was reduced to 5.5 million USD, </w:t>
      </w:r>
      <w:r w:rsidR="0047618C">
        <w:t xml:space="preserve">ECHO </w:t>
      </w:r>
      <w:r w:rsidR="00D33C72" w:rsidRPr="00A05B57">
        <w:t xml:space="preserve">accepted </w:t>
      </w:r>
      <w:r w:rsidRPr="00A05B57">
        <w:t xml:space="preserve">the </w:t>
      </w:r>
      <w:r w:rsidR="00D33C72" w:rsidRPr="00A05B57">
        <w:t xml:space="preserve">joint </w:t>
      </w:r>
      <w:r w:rsidRPr="00A05B57">
        <w:t xml:space="preserve">project proposal </w:t>
      </w:r>
      <w:r w:rsidR="00D33C72" w:rsidRPr="00A05B57">
        <w:t xml:space="preserve">with MEDAIR </w:t>
      </w:r>
      <w:r w:rsidRPr="00A05B57">
        <w:t>for distribution of NFIs for 750 vulnerable households and distribution of shelter kits to 900 vulnerable households.</w:t>
      </w:r>
    </w:p>
    <w:p w14:paraId="10428FF3" w14:textId="54745BFA" w:rsidR="00915F2C" w:rsidRPr="00A05B57" w:rsidRDefault="00915F2C" w:rsidP="00307EAB">
      <w:pPr>
        <w:pStyle w:val="ListParagraph"/>
        <w:numPr>
          <w:ilvl w:val="1"/>
          <w:numId w:val="1"/>
        </w:numPr>
        <w:spacing w:line="240" w:lineRule="auto"/>
      </w:pPr>
      <w:r w:rsidRPr="00A05B57">
        <w:t xml:space="preserve">MEDAIR requested </w:t>
      </w:r>
      <w:r w:rsidR="0047618C">
        <w:t xml:space="preserve">1,700 </w:t>
      </w:r>
      <w:r w:rsidRPr="00A05B57">
        <w:t>kits from DFID, these were reduced to just two tarps and a rope, but they might be able to add to this from their own funds.</w:t>
      </w:r>
      <w:r w:rsidR="00D33C72" w:rsidRPr="00A05B57">
        <w:t xml:space="preserve"> Repair kits for 3,000 </w:t>
      </w:r>
      <w:r w:rsidR="0047618C">
        <w:t>households are being sourced</w:t>
      </w:r>
      <w:r w:rsidR="00D33C72" w:rsidRPr="00A05B57">
        <w:t xml:space="preserve"> through OFDA.</w:t>
      </w:r>
    </w:p>
    <w:p w14:paraId="30B373CA" w14:textId="7F800A14" w:rsidR="00D33C72" w:rsidRPr="00A05B57" w:rsidRDefault="00D33C72" w:rsidP="00307EAB">
      <w:pPr>
        <w:pStyle w:val="ListParagraph"/>
        <w:numPr>
          <w:ilvl w:val="1"/>
          <w:numId w:val="1"/>
        </w:numPr>
        <w:spacing w:line="240" w:lineRule="auto"/>
      </w:pPr>
      <w:r w:rsidRPr="00A05B57">
        <w:t>HI’s 1,500 shelter kits should arrive within 3 days, tents have been swapped for NFI kits after this morning’s discussion.</w:t>
      </w:r>
    </w:p>
    <w:p w14:paraId="34499BCA" w14:textId="77777777" w:rsidR="00915F2C" w:rsidRPr="00A05B57" w:rsidRDefault="00915F2C" w:rsidP="00915F2C">
      <w:pPr>
        <w:pStyle w:val="ListParagraph"/>
        <w:spacing w:line="240" w:lineRule="auto"/>
        <w:ind w:left="1440"/>
      </w:pPr>
    </w:p>
    <w:p w14:paraId="19BC5164" w14:textId="3D556B91" w:rsidR="003A257E" w:rsidRPr="00A05B57" w:rsidRDefault="003A257E" w:rsidP="003A257E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</w:rPr>
      </w:pPr>
      <w:r w:rsidRPr="00A05B57">
        <w:rPr>
          <w:b/>
        </w:rPr>
        <w:t>Standard interventions</w:t>
      </w:r>
    </w:p>
    <w:p w14:paraId="34721054" w14:textId="2B47C6AF" w:rsidR="003A257E" w:rsidRPr="00A05B57" w:rsidRDefault="00A05B57" w:rsidP="00307EAB">
      <w:pPr>
        <w:pStyle w:val="ListParagraph"/>
        <w:numPr>
          <w:ilvl w:val="1"/>
          <w:numId w:val="1"/>
        </w:numPr>
        <w:spacing w:line="240" w:lineRule="auto"/>
      </w:pPr>
      <w:r w:rsidRPr="00A05B57">
        <w:t xml:space="preserve">The </w:t>
      </w:r>
      <w:r w:rsidR="00D33C72" w:rsidRPr="00A05B57">
        <w:t>TWIG met today</w:t>
      </w:r>
      <w:r w:rsidRPr="00A05B57">
        <w:t xml:space="preserve"> for the first time</w:t>
      </w:r>
      <w:r w:rsidR="00D33C72" w:rsidRPr="00A05B57">
        <w:t xml:space="preserve">, John will </w:t>
      </w:r>
      <w:r w:rsidR="00105E4D">
        <w:t>circulate</w:t>
      </w:r>
      <w:r w:rsidR="00D33C72" w:rsidRPr="00A05B57">
        <w:t xml:space="preserve"> the </w:t>
      </w:r>
      <w:r w:rsidR="00105E4D">
        <w:t xml:space="preserve">draft response </w:t>
      </w:r>
      <w:r w:rsidR="00D33C72" w:rsidRPr="00A05B57">
        <w:t xml:space="preserve">strategy </w:t>
      </w:r>
      <w:r w:rsidR="00105E4D">
        <w:t>as soon as possible</w:t>
      </w:r>
      <w:r w:rsidR="00D33C72" w:rsidRPr="00A05B57">
        <w:t>.</w:t>
      </w:r>
    </w:p>
    <w:p w14:paraId="0ED30241" w14:textId="77777777" w:rsidR="00D33C72" w:rsidRPr="00A05B57" w:rsidRDefault="00D33C72" w:rsidP="00D33C72">
      <w:pPr>
        <w:pStyle w:val="ListParagraph"/>
        <w:spacing w:line="240" w:lineRule="auto"/>
        <w:ind w:left="1440"/>
      </w:pPr>
    </w:p>
    <w:p w14:paraId="6F25F281" w14:textId="6C75917A" w:rsidR="005660CB" w:rsidRPr="00A05B57" w:rsidRDefault="005660CB" w:rsidP="00C30F8C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</w:rPr>
      </w:pPr>
      <w:r w:rsidRPr="00A05B57">
        <w:rPr>
          <w:b/>
        </w:rPr>
        <w:t>Assessment update</w:t>
      </w:r>
      <w:bookmarkStart w:id="0" w:name="_GoBack"/>
      <w:bookmarkEnd w:id="0"/>
    </w:p>
    <w:p w14:paraId="31766196" w14:textId="6E13E0F0" w:rsidR="00321E7D" w:rsidRPr="00A05B57" w:rsidRDefault="00F401C4" w:rsidP="00307EAB">
      <w:pPr>
        <w:pStyle w:val="ListParagraph"/>
        <w:numPr>
          <w:ilvl w:val="1"/>
          <w:numId w:val="1"/>
        </w:numPr>
        <w:spacing w:line="240" w:lineRule="auto"/>
      </w:pPr>
      <w:r>
        <w:t>IOM’s m</w:t>
      </w:r>
      <w:r w:rsidR="00427871" w:rsidRPr="00A05B57">
        <w:t>arket assessment identified 3 vendors, 2 of which stocked some hygiene items, clothes and tools. They are willing to increase their stock. Bulky items are problematic, but they have a national warehouse and branches in the areas affected.</w:t>
      </w:r>
    </w:p>
    <w:p w14:paraId="59501955" w14:textId="4C81EA5A" w:rsidR="00427871" w:rsidRPr="00A05B57" w:rsidRDefault="00427871" w:rsidP="00307EAB">
      <w:pPr>
        <w:pStyle w:val="ListParagraph"/>
        <w:numPr>
          <w:ilvl w:val="1"/>
          <w:numId w:val="1"/>
        </w:numPr>
        <w:spacing w:line="240" w:lineRule="auto"/>
      </w:pPr>
      <w:r w:rsidRPr="00A05B57">
        <w:t>Chamber of Commerce is keen on partners distributing locally purchased materials whenever possible.</w:t>
      </w:r>
    </w:p>
    <w:p w14:paraId="752839A3" w14:textId="229AE8D3" w:rsidR="00427871" w:rsidRPr="00A05B57" w:rsidRDefault="0047618C" w:rsidP="00307EAB">
      <w:pPr>
        <w:pStyle w:val="ListParagraph"/>
        <w:numPr>
          <w:ilvl w:val="1"/>
          <w:numId w:val="1"/>
        </w:numPr>
        <w:spacing w:line="240" w:lineRule="auto"/>
      </w:pPr>
      <w:r>
        <w:t xml:space="preserve">A </w:t>
      </w:r>
      <w:r w:rsidR="00427871" w:rsidRPr="00A05B57">
        <w:t xml:space="preserve">Real estate agent expects that 30% of apartments are damaged, renting </w:t>
      </w:r>
      <w:r w:rsidR="00A05B57">
        <w:t>an apartment</w:t>
      </w:r>
      <w:r w:rsidR="00427871" w:rsidRPr="00A05B57">
        <w:t xml:space="preserve"> costs 300 kroner and prices have increased with 5% since the floods </w:t>
      </w:r>
      <w:r>
        <w:t>(a</w:t>
      </w:r>
      <w:r w:rsidR="00427871" w:rsidRPr="00A05B57">
        <w:t xml:space="preserve"> maximum</w:t>
      </w:r>
      <w:r>
        <w:t xml:space="preserve"> of</w:t>
      </w:r>
      <w:r w:rsidR="00427871" w:rsidRPr="00A05B57">
        <w:t xml:space="preserve"> 10% is expected</w:t>
      </w:r>
      <w:r>
        <w:t>)</w:t>
      </w:r>
      <w:r w:rsidR="00427871" w:rsidRPr="00A05B57">
        <w:t xml:space="preserve">. </w:t>
      </w:r>
      <w:r>
        <w:t xml:space="preserve">There are </w:t>
      </w:r>
      <w:r w:rsidR="00427871" w:rsidRPr="00A05B57">
        <w:t xml:space="preserve">12 unfinished development with 6 houses in each (4 bedrooms), </w:t>
      </w:r>
      <w:r>
        <w:t xml:space="preserve">they </w:t>
      </w:r>
      <w:r w:rsidR="00427871" w:rsidRPr="00A05B57">
        <w:t>only need windows, doors and latrines.</w:t>
      </w:r>
    </w:p>
    <w:p w14:paraId="4D2079C8" w14:textId="77777777" w:rsidR="00D33C72" w:rsidRPr="00A05B57" w:rsidRDefault="00915F2C" w:rsidP="00D33C72">
      <w:pPr>
        <w:pStyle w:val="ListParagraph"/>
        <w:numPr>
          <w:ilvl w:val="1"/>
          <w:numId w:val="1"/>
        </w:numPr>
        <w:spacing w:line="240" w:lineRule="auto"/>
      </w:pPr>
      <w:r w:rsidRPr="00A05B57">
        <w:t>Financial institutions clarified that ATMs were working and the banking system was not impacted.</w:t>
      </w:r>
    </w:p>
    <w:p w14:paraId="6C2C5932" w14:textId="53DE319F" w:rsidR="00D33C72" w:rsidRPr="00A05B57" w:rsidRDefault="00D33C72" w:rsidP="00D33C72">
      <w:pPr>
        <w:pStyle w:val="ListParagraph"/>
        <w:numPr>
          <w:ilvl w:val="1"/>
          <w:numId w:val="1"/>
        </w:numPr>
        <w:spacing w:line="240" w:lineRule="auto"/>
      </w:pPr>
      <w:r w:rsidRPr="00A05B57">
        <w:rPr>
          <w:rFonts w:ascii="Calibri" w:hAnsi="Calibri"/>
        </w:rPr>
        <w:t>Based on DTM figures and UNDAC assessment results, the cluster estimates that 11,249 households (56,245 people) have been displaced across various sites.</w:t>
      </w:r>
      <w:r w:rsidR="000D01E8">
        <w:rPr>
          <w:rFonts w:ascii="Calibri" w:hAnsi="Calibri"/>
        </w:rPr>
        <w:t xml:space="preserve"> Government figures put this at 204,000 people in host communities, </w:t>
      </w:r>
    </w:p>
    <w:p w14:paraId="5003D6EF" w14:textId="5FDCAEDB" w:rsidR="00D33C72" w:rsidRPr="00A05B57" w:rsidRDefault="00D33C72" w:rsidP="00D33C72">
      <w:pPr>
        <w:pStyle w:val="ListParagraph"/>
        <w:numPr>
          <w:ilvl w:val="1"/>
          <w:numId w:val="1"/>
        </w:numPr>
        <w:spacing w:line="240" w:lineRule="auto"/>
      </w:pPr>
      <w:r w:rsidRPr="00A05B57">
        <w:rPr>
          <w:rFonts w:ascii="Calibri" w:hAnsi="Calibri"/>
        </w:rPr>
        <w:t>Shelter needs range from leaking roofs, lack of partitioning, lack of heating, overcrowding to difficult access for the elderly and people with special needs.</w:t>
      </w:r>
    </w:p>
    <w:p w14:paraId="2F0735F4" w14:textId="548285B4" w:rsidR="00D33C72" w:rsidRPr="00A05B57" w:rsidRDefault="00D33C72" w:rsidP="00D33C72">
      <w:pPr>
        <w:pStyle w:val="ListParagraph"/>
        <w:numPr>
          <w:ilvl w:val="1"/>
          <w:numId w:val="1"/>
        </w:numPr>
        <w:spacing w:line="240" w:lineRule="auto"/>
      </w:pPr>
      <w:r w:rsidRPr="00A05B57">
        <w:rPr>
          <w:rFonts w:ascii="Calibri" w:hAnsi="Calibri"/>
        </w:rPr>
        <w:t>In Rogaland, 45% of the houses are slightly damaged and 45% severely damaged, in Vest-</w:t>
      </w:r>
      <w:proofErr w:type="spellStart"/>
      <w:r w:rsidRPr="00A05B57">
        <w:rPr>
          <w:rFonts w:ascii="Calibri" w:hAnsi="Calibri"/>
        </w:rPr>
        <w:t>Agder</w:t>
      </w:r>
      <w:proofErr w:type="spellEnd"/>
      <w:r w:rsidRPr="00A05B57">
        <w:rPr>
          <w:rFonts w:ascii="Calibri" w:hAnsi="Calibri"/>
        </w:rPr>
        <w:t xml:space="preserve"> this is 40% and 30% respectively. The cluster will target 50,000 households in these areas.</w:t>
      </w:r>
    </w:p>
    <w:p w14:paraId="4E0EF62F" w14:textId="77777777" w:rsidR="00D33C72" w:rsidRPr="00A05B57" w:rsidRDefault="00D33C72" w:rsidP="00D33C72">
      <w:pPr>
        <w:pStyle w:val="ListParagraph"/>
        <w:spacing w:line="240" w:lineRule="auto"/>
        <w:ind w:left="1440"/>
      </w:pPr>
    </w:p>
    <w:p w14:paraId="653B1831" w14:textId="271C0D15" w:rsidR="00F712B8" w:rsidRPr="00A05B57" w:rsidRDefault="00F712B8" w:rsidP="00F712B8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</w:rPr>
      </w:pPr>
      <w:r w:rsidRPr="00A05B57">
        <w:rPr>
          <w:b/>
        </w:rPr>
        <w:t>AOB</w:t>
      </w:r>
    </w:p>
    <w:p w14:paraId="35784C14" w14:textId="4F9971EB" w:rsidR="00DD6D7F" w:rsidRPr="00A05B57" w:rsidRDefault="00974F6B" w:rsidP="00307EAB">
      <w:pPr>
        <w:pStyle w:val="ListParagraph"/>
        <w:numPr>
          <w:ilvl w:val="1"/>
          <w:numId w:val="1"/>
        </w:numPr>
        <w:spacing w:line="240" w:lineRule="auto"/>
      </w:pPr>
      <w:r>
        <w:t>MEDAIR’s e</w:t>
      </w:r>
      <w:r w:rsidR="00A05B57">
        <w:t xml:space="preserve">ngineering support </w:t>
      </w:r>
      <w:r>
        <w:t xml:space="preserve">was </w:t>
      </w:r>
      <w:r w:rsidR="00A05B57">
        <w:t xml:space="preserve">requested </w:t>
      </w:r>
      <w:r>
        <w:t>by the Access Working Group to help with assessing infrastructure.</w:t>
      </w:r>
    </w:p>
    <w:sectPr w:rsidR="00DD6D7F" w:rsidRPr="00A05B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1438" w14:textId="77777777" w:rsidR="00EC5EF4" w:rsidRDefault="00EC5EF4" w:rsidP="00C340D5">
      <w:pPr>
        <w:spacing w:after="0" w:line="240" w:lineRule="auto"/>
      </w:pPr>
      <w:r>
        <w:separator/>
      </w:r>
    </w:p>
  </w:endnote>
  <w:endnote w:type="continuationSeparator" w:id="0">
    <w:p w14:paraId="394B54F0" w14:textId="77777777" w:rsidR="00EC5EF4" w:rsidRDefault="00EC5EF4" w:rsidP="00C3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AD84" w14:textId="77777777" w:rsidR="00EC5EF4" w:rsidRDefault="00EC5EF4" w:rsidP="00C340D5">
      <w:pPr>
        <w:spacing w:after="0" w:line="240" w:lineRule="auto"/>
      </w:pPr>
      <w:r>
        <w:separator/>
      </w:r>
    </w:p>
  </w:footnote>
  <w:footnote w:type="continuationSeparator" w:id="0">
    <w:p w14:paraId="44507BA6" w14:textId="77777777" w:rsidR="00EC5EF4" w:rsidRDefault="00EC5EF4" w:rsidP="00C3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9BA1" w14:textId="4E6B4EB1" w:rsidR="00C340D5" w:rsidRPr="00C34B81" w:rsidRDefault="00C34B81" w:rsidP="00C340D5">
    <w:pPr>
      <w:spacing w:after="0"/>
      <w:rPr>
        <w:b/>
      </w:rPr>
    </w:pPr>
    <w:r w:rsidRPr="00C34B81">
      <w:rPr>
        <w:b/>
        <w:noProof/>
        <w:lang w:eastAsia="en-GB"/>
      </w:rPr>
      <w:drawing>
        <wp:inline distT="0" distB="0" distL="0" distR="0" wp14:anchorId="1928B511" wp14:editId="08A30414">
          <wp:extent cx="1800000" cy="2333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orland Shelter Clu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4B81">
      <w:rPr>
        <w:b/>
      </w:rPr>
      <w:t xml:space="preserve"> </w:t>
    </w:r>
    <w:r>
      <w:rPr>
        <w:b/>
      </w:rPr>
      <w:t>M</w:t>
    </w:r>
    <w:r w:rsidRPr="00C34B81">
      <w:rPr>
        <w:b/>
      </w:rPr>
      <w:t>eeting minutes</w:t>
    </w:r>
    <w:r w:rsidR="005660CB">
      <w:rPr>
        <w:b/>
      </w:rPr>
      <w:t>, 28</w:t>
    </w:r>
    <w:r>
      <w:rPr>
        <w:b/>
      </w:rPr>
      <w:t xml:space="preserve">/9/2016, </w:t>
    </w:r>
    <w:r w:rsidR="00307EAB">
      <w:rPr>
        <w:b/>
      </w:rPr>
      <w:t>stand up meeting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965"/>
    <w:multiLevelType w:val="hybridMultilevel"/>
    <w:tmpl w:val="35848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06C04"/>
    <w:multiLevelType w:val="hybridMultilevel"/>
    <w:tmpl w:val="71E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3E2"/>
    <w:multiLevelType w:val="hybridMultilevel"/>
    <w:tmpl w:val="4E080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7562A"/>
    <w:multiLevelType w:val="hybridMultilevel"/>
    <w:tmpl w:val="A1DC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2E8F"/>
    <w:multiLevelType w:val="hybridMultilevel"/>
    <w:tmpl w:val="C93E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71685"/>
    <w:multiLevelType w:val="hybridMultilevel"/>
    <w:tmpl w:val="5BBE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60B5"/>
    <w:multiLevelType w:val="hybridMultilevel"/>
    <w:tmpl w:val="AD60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3198"/>
    <w:multiLevelType w:val="hybridMultilevel"/>
    <w:tmpl w:val="A8B2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1D"/>
    <w:rsid w:val="00013F9C"/>
    <w:rsid w:val="00074ABA"/>
    <w:rsid w:val="00085D18"/>
    <w:rsid w:val="000B7850"/>
    <w:rsid w:val="000C61F2"/>
    <w:rsid w:val="000D01E8"/>
    <w:rsid w:val="00105E4D"/>
    <w:rsid w:val="001D7CDF"/>
    <w:rsid w:val="002743E1"/>
    <w:rsid w:val="00293D44"/>
    <w:rsid w:val="00307EAB"/>
    <w:rsid w:val="00321E7D"/>
    <w:rsid w:val="00337005"/>
    <w:rsid w:val="003A257E"/>
    <w:rsid w:val="00417A99"/>
    <w:rsid w:val="00427871"/>
    <w:rsid w:val="0047618C"/>
    <w:rsid w:val="004C669C"/>
    <w:rsid w:val="005119CB"/>
    <w:rsid w:val="005609FE"/>
    <w:rsid w:val="005660CB"/>
    <w:rsid w:val="005B451F"/>
    <w:rsid w:val="005C4588"/>
    <w:rsid w:val="005C4AF7"/>
    <w:rsid w:val="005D32E1"/>
    <w:rsid w:val="006F4973"/>
    <w:rsid w:val="007A7F56"/>
    <w:rsid w:val="008A5738"/>
    <w:rsid w:val="008B2DAA"/>
    <w:rsid w:val="00915F2C"/>
    <w:rsid w:val="00924863"/>
    <w:rsid w:val="00932CD4"/>
    <w:rsid w:val="00974F6B"/>
    <w:rsid w:val="00A0441D"/>
    <w:rsid w:val="00A05B57"/>
    <w:rsid w:val="00B23650"/>
    <w:rsid w:val="00B43334"/>
    <w:rsid w:val="00B50DF7"/>
    <w:rsid w:val="00B836C1"/>
    <w:rsid w:val="00C30F8C"/>
    <w:rsid w:val="00C340D5"/>
    <w:rsid w:val="00C34B81"/>
    <w:rsid w:val="00C431EF"/>
    <w:rsid w:val="00C975BC"/>
    <w:rsid w:val="00D04E1C"/>
    <w:rsid w:val="00D10706"/>
    <w:rsid w:val="00D33C72"/>
    <w:rsid w:val="00D4237A"/>
    <w:rsid w:val="00D45FF5"/>
    <w:rsid w:val="00D60492"/>
    <w:rsid w:val="00D847D3"/>
    <w:rsid w:val="00DA48C2"/>
    <w:rsid w:val="00DA6E99"/>
    <w:rsid w:val="00DD6D7F"/>
    <w:rsid w:val="00DE1541"/>
    <w:rsid w:val="00E210FB"/>
    <w:rsid w:val="00E80A3A"/>
    <w:rsid w:val="00EC5EF4"/>
    <w:rsid w:val="00EF369B"/>
    <w:rsid w:val="00F229B1"/>
    <w:rsid w:val="00F401C4"/>
    <w:rsid w:val="00F604DE"/>
    <w:rsid w:val="00F712B8"/>
    <w:rsid w:val="00FA345A"/>
    <w:rsid w:val="00FB1FDA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EE38D"/>
  <w15:chartTrackingRefBased/>
  <w15:docId w15:val="{095F0596-4F3B-4815-A736-37691E8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D5"/>
  </w:style>
  <w:style w:type="paragraph" w:styleId="Footer">
    <w:name w:val="footer"/>
    <w:basedOn w:val="Normal"/>
    <w:link w:val="FooterChar"/>
    <w:uiPriority w:val="99"/>
    <w:unhideWhenUsed/>
    <w:rsid w:val="00C3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D5"/>
  </w:style>
  <w:style w:type="table" w:styleId="TableGrid">
    <w:name w:val="Table Grid"/>
    <w:basedOn w:val="TableNormal"/>
    <w:uiPriority w:val="39"/>
    <w:rsid w:val="00D4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F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3C7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C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Hurkmans</dc:creator>
  <cp:keywords/>
  <dc:description/>
  <cp:lastModifiedBy>Bo Hurkmans</cp:lastModifiedBy>
  <cp:revision>8</cp:revision>
  <cp:lastPrinted>2016-09-27T12:25:00Z</cp:lastPrinted>
  <dcterms:created xsi:type="dcterms:W3CDTF">2016-09-28T15:08:00Z</dcterms:created>
  <dcterms:modified xsi:type="dcterms:W3CDTF">2016-09-29T05:56:00Z</dcterms:modified>
</cp:coreProperties>
</file>