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F4216" w14:textId="0C122D47" w:rsidR="00A412D8" w:rsidRDefault="00A412D8" w:rsidP="00A412D8">
      <w:pPr>
        <w:pStyle w:val="GeneralHeading1"/>
        <w:jc w:val="center"/>
        <w:rPr>
          <w:sz w:val="24"/>
        </w:rPr>
      </w:pPr>
      <w:r>
        <w:rPr>
          <w:sz w:val="24"/>
        </w:rPr>
        <w:t>Housing, Land and Property Mapping Project</w:t>
      </w:r>
    </w:p>
    <w:p w14:paraId="27A70DED" w14:textId="0CE53F86" w:rsidR="00A412D8" w:rsidRDefault="00A412D8" w:rsidP="00A412D8">
      <w:pPr>
        <w:pStyle w:val="GeneralHeading1"/>
        <w:jc w:val="center"/>
        <w:rPr>
          <w:sz w:val="24"/>
        </w:rPr>
      </w:pPr>
      <w:r>
        <w:rPr>
          <w:sz w:val="24"/>
        </w:rPr>
        <w:t>Nepal</w:t>
      </w:r>
    </w:p>
    <w:p w14:paraId="4ECDFEF6" w14:textId="77777777" w:rsidR="00A412D8" w:rsidRDefault="00A412D8" w:rsidP="00A412D8"/>
    <w:p w14:paraId="4FBAF03E" w14:textId="77777777" w:rsidR="00A412D8" w:rsidRPr="00227803" w:rsidRDefault="00A412D8" w:rsidP="00A412D8">
      <w:pPr>
        <w:rPr>
          <w:b/>
          <w:sz w:val="22"/>
          <w:szCs w:val="22"/>
        </w:rPr>
      </w:pPr>
      <w:r w:rsidRPr="00227803">
        <w:rPr>
          <w:b/>
          <w:sz w:val="22"/>
          <w:szCs w:val="22"/>
        </w:rPr>
        <w:t>Background</w:t>
      </w:r>
    </w:p>
    <w:p w14:paraId="519F624C" w14:textId="77777777" w:rsidR="00A412D8" w:rsidRDefault="00A412D8" w:rsidP="00A412D8">
      <w:r>
        <w:t>The following fact sheet and research memo have been developed to provide quick and key information of the legal and procedural context relating to Housing, Land and Property (HLP) within the target country. They are intended to inform programming and emergency responses, especially those involving shelter interventions. A rapid understanding of the tenure landscape in each country context can assist in delivering stronger and more equitable responses,</w:t>
      </w:r>
      <w:bookmarkStart w:id="0" w:name="_GoBack"/>
      <w:bookmarkEnd w:id="0"/>
      <w:r>
        <w:t xml:space="preserve"> however these documents are not intended to be legal advice.</w:t>
      </w:r>
    </w:p>
    <w:p w14:paraId="6A8AED66" w14:textId="77777777" w:rsidR="00A412D8" w:rsidRDefault="00A412D8" w:rsidP="00A412D8">
      <w:r>
        <w:t>The HLP mapping project has been undertaken by Allens lawyers, using templates developed by the Australian Red Cross (ARC) and the International Federation of the Red Cross and Red Crescent Societies (IFRC). All of the research has gone through a verification process with in country lawyers and/or country experts.</w:t>
      </w:r>
    </w:p>
    <w:p w14:paraId="6EC2628E" w14:textId="77777777" w:rsidR="00A412D8" w:rsidRDefault="00A412D8" w:rsidP="00A412D8"/>
    <w:p w14:paraId="324BCF22" w14:textId="77777777" w:rsidR="00A412D8" w:rsidRPr="00227803" w:rsidRDefault="00A412D8" w:rsidP="00A412D8">
      <w:pPr>
        <w:rPr>
          <w:b/>
          <w:sz w:val="22"/>
          <w:szCs w:val="22"/>
        </w:rPr>
      </w:pPr>
      <w:r w:rsidRPr="00227803">
        <w:rPr>
          <w:b/>
          <w:sz w:val="22"/>
          <w:szCs w:val="22"/>
        </w:rPr>
        <w:t>Document Change Management</w:t>
      </w:r>
    </w:p>
    <w:p w14:paraId="21561469" w14:textId="77777777" w:rsidR="00A412D8" w:rsidRDefault="00A412D8" w:rsidP="00A412D8">
      <w:r>
        <w:t>These documents are intended to be used and updated as necessary to ensure that they are always providing the most current and relevant information.  We would appreciate ongoing feedback and updates from those working in country, in response or preparedness.</w:t>
      </w:r>
    </w:p>
    <w:p w14:paraId="7E59B770" w14:textId="77777777" w:rsidR="00A412D8" w:rsidRDefault="00A412D8" w:rsidP="00A412D8">
      <w:r>
        <w:t xml:space="preserve">If you would like to make any changes to the document, please submit to the document manager Leeanne Marshall via the below table. </w:t>
      </w:r>
    </w:p>
    <w:p w14:paraId="52DF45D6" w14:textId="77777777" w:rsidR="00A412D8" w:rsidRDefault="00A412D8" w:rsidP="00A412D8"/>
    <w:tbl>
      <w:tblPr>
        <w:tblStyle w:val="TableGrid"/>
        <w:tblW w:w="5050" w:type="pct"/>
        <w:tblLook w:val="04A0" w:firstRow="1" w:lastRow="0" w:firstColumn="1" w:lastColumn="0" w:noHBand="0" w:noVBand="1"/>
      </w:tblPr>
      <w:tblGrid>
        <w:gridCol w:w="1616"/>
        <w:gridCol w:w="2586"/>
        <w:gridCol w:w="4270"/>
        <w:gridCol w:w="967"/>
      </w:tblGrid>
      <w:tr w:rsidR="00A412D8" w:rsidRPr="00254FFF" w14:paraId="4A863E37"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hideMark/>
          </w:tcPr>
          <w:p w14:paraId="5A871036" w14:textId="77777777" w:rsidR="00A412D8" w:rsidRPr="00227803" w:rsidRDefault="00A412D8" w:rsidP="00B117EC">
            <w:pPr>
              <w:rPr>
                <w:b/>
              </w:rPr>
            </w:pPr>
            <w:r w:rsidRPr="00227803">
              <w:rPr>
                <w:b/>
              </w:rPr>
              <w:t>Title</w:t>
            </w:r>
          </w:p>
        </w:tc>
        <w:tc>
          <w:tcPr>
            <w:tcW w:w="4144" w:type="pct"/>
            <w:gridSpan w:val="3"/>
            <w:tcBorders>
              <w:top w:val="single" w:sz="4" w:space="0" w:color="auto"/>
              <w:left w:val="single" w:sz="4" w:space="0" w:color="auto"/>
              <w:bottom w:val="single" w:sz="4" w:space="0" w:color="auto"/>
              <w:right w:val="single" w:sz="4" w:space="0" w:color="auto"/>
            </w:tcBorders>
            <w:hideMark/>
          </w:tcPr>
          <w:p w14:paraId="0A85CFEC" w14:textId="5BD508BA" w:rsidR="00A412D8" w:rsidRPr="00227803" w:rsidRDefault="00A412D8" w:rsidP="00B117EC">
            <w:r>
              <w:t>Nepal</w:t>
            </w:r>
            <w:r w:rsidRPr="00227803">
              <w:t xml:space="preserve"> HLP Profile</w:t>
            </w:r>
          </w:p>
        </w:tc>
      </w:tr>
      <w:tr w:rsidR="00A412D8" w:rsidRPr="00254FFF" w14:paraId="68BFB06E"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hideMark/>
          </w:tcPr>
          <w:p w14:paraId="1B0DA7A3" w14:textId="77777777" w:rsidR="00A412D8" w:rsidRPr="00227803" w:rsidRDefault="00A412D8" w:rsidP="00B117EC">
            <w:pPr>
              <w:rPr>
                <w:b/>
              </w:rPr>
            </w:pPr>
            <w:r w:rsidRPr="00227803">
              <w:rPr>
                <w:b/>
              </w:rPr>
              <w:t>Description</w:t>
            </w:r>
          </w:p>
        </w:tc>
        <w:tc>
          <w:tcPr>
            <w:tcW w:w="4144" w:type="pct"/>
            <w:gridSpan w:val="3"/>
            <w:tcBorders>
              <w:top w:val="single" w:sz="4" w:space="0" w:color="auto"/>
              <w:left w:val="single" w:sz="4" w:space="0" w:color="auto"/>
              <w:bottom w:val="single" w:sz="4" w:space="0" w:color="auto"/>
              <w:right w:val="single" w:sz="4" w:space="0" w:color="auto"/>
            </w:tcBorders>
            <w:hideMark/>
          </w:tcPr>
          <w:p w14:paraId="75E4E204" w14:textId="77777777" w:rsidR="00A412D8" w:rsidRPr="00227803" w:rsidRDefault="00A412D8" w:rsidP="00B117EC">
            <w:r w:rsidRPr="00227803">
              <w:t>Fact Sheet and Research Memo</w:t>
            </w:r>
          </w:p>
        </w:tc>
      </w:tr>
      <w:tr w:rsidR="00A412D8" w:rsidRPr="00254FFF" w14:paraId="0BED852A"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hideMark/>
          </w:tcPr>
          <w:p w14:paraId="1CE06B44" w14:textId="77777777" w:rsidR="00A412D8" w:rsidRPr="00227803" w:rsidRDefault="00A412D8" w:rsidP="00B117EC">
            <w:pPr>
              <w:rPr>
                <w:b/>
              </w:rPr>
            </w:pPr>
            <w:r w:rsidRPr="00227803">
              <w:rPr>
                <w:b/>
              </w:rPr>
              <w:t>Created By</w:t>
            </w:r>
          </w:p>
        </w:tc>
        <w:tc>
          <w:tcPr>
            <w:tcW w:w="4144" w:type="pct"/>
            <w:gridSpan w:val="3"/>
            <w:tcBorders>
              <w:top w:val="single" w:sz="4" w:space="0" w:color="auto"/>
              <w:left w:val="single" w:sz="4" w:space="0" w:color="auto"/>
              <w:bottom w:val="single" w:sz="4" w:space="0" w:color="auto"/>
              <w:right w:val="single" w:sz="4" w:space="0" w:color="auto"/>
            </w:tcBorders>
            <w:hideMark/>
          </w:tcPr>
          <w:p w14:paraId="687FDA7B" w14:textId="77777777" w:rsidR="00A412D8" w:rsidRPr="00227803" w:rsidRDefault="00A412D8" w:rsidP="00B117EC">
            <w:r w:rsidRPr="00227803">
              <w:t>Allens Lawyers, Australian Red Cross, IFRC</w:t>
            </w:r>
          </w:p>
        </w:tc>
      </w:tr>
      <w:tr w:rsidR="00A412D8" w14:paraId="324FCD03"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hideMark/>
          </w:tcPr>
          <w:p w14:paraId="321A65FD" w14:textId="77777777" w:rsidR="00A412D8" w:rsidRPr="00227803" w:rsidRDefault="00A412D8" w:rsidP="00B117EC">
            <w:pPr>
              <w:rPr>
                <w:b/>
              </w:rPr>
            </w:pPr>
            <w:r w:rsidRPr="00227803">
              <w:rPr>
                <w:b/>
              </w:rPr>
              <w:t>Date Created</w:t>
            </w:r>
          </w:p>
        </w:tc>
        <w:tc>
          <w:tcPr>
            <w:tcW w:w="4144" w:type="pct"/>
            <w:gridSpan w:val="3"/>
            <w:tcBorders>
              <w:top w:val="single" w:sz="4" w:space="0" w:color="auto"/>
              <w:left w:val="single" w:sz="4" w:space="0" w:color="auto"/>
              <w:bottom w:val="single" w:sz="4" w:space="0" w:color="auto"/>
              <w:right w:val="single" w:sz="4" w:space="0" w:color="auto"/>
            </w:tcBorders>
            <w:hideMark/>
          </w:tcPr>
          <w:p w14:paraId="39C76A8F" w14:textId="7EB8412F" w:rsidR="00A412D8" w:rsidRPr="00227803" w:rsidRDefault="00A412D8" w:rsidP="00A412D8">
            <w:r>
              <w:t>July</w:t>
            </w:r>
            <w:r w:rsidRPr="00227803">
              <w:t xml:space="preserve"> 201</w:t>
            </w:r>
            <w:r>
              <w:t>9</w:t>
            </w:r>
          </w:p>
        </w:tc>
      </w:tr>
      <w:tr w:rsidR="00A412D8" w:rsidRPr="00254FFF" w14:paraId="7EB17543"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hideMark/>
          </w:tcPr>
          <w:p w14:paraId="3A78B67F" w14:textId="77777777" w:rsidR="00A412D8" w:rsidRPr="00227803" w:rsidRDefault="00A412D8" w:rsidP="00B117EC">
            <w:pPr>
              <w:rPr>
                <w:b/>
              </w:rPr>
            </w:pPr>
            <w:r w:rsidRPr="00227803">
              <w:rPr>
                <w:b/>
              </w:rPr>
              <w:t>Maintained by</w:t>
            </w:r>
          </w:p>
        </w:tc>
        <w:tc>
          <w:tcPr>
            <w:tcW w:w="4144" w:type="pct"/>
            <w:gridSpan w:val="3"/>
            <w:tcBorders>
              <w:top w:val="single" w:sz="4" w:space="0" w:color="auto"/>
              <w:left w:val="single" w:sz="4" w:space="0" w:color="auto"/>
              <w:bottom w:val="single" w:sz="4" w:space="0" w:color="auto"/>
              <w:right w:val="single" w:sz="4" w:space="0" w:color="auto"/>
            </w:tcBorders>
            <w:hideMark/>
          </w:tcPr>
          <w:p w14:paraId="43FDE7C6" w14:textId="77777777" w:rsidR="00A412D8" w:rsidRPr="00227803" w:rsidRDefault="00A412D8" w:rsidP="00B117EC">
            <w:r w:rsidRPr="00227803">
              <w:t xml:space="preserve">Leeanne Marshall </w:t>
            </w:r>
            <w:hyperlink r:id="rId8" w:history="1">
              <w:r w:rsidRPr="00227803">
                <w:rPr>
                  <w:rStyle w:val="Hyperlink"/>
                </w:rPr>
                <w:t>lemarshall@redcross.org.au</w:t>
              </w:r>
            </w:hyperlink>
            <w:r w:rsidRPr="00227803">
              <w:t xml:space="preserve">   </w:t>
            </w:r>
          </w:p>
        </w:tc>
      </w:tr>
      <w:tr w:rsidR="00A412D8" w14:paraId="1EE51D23"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hideMark/>
          </w:tcPr>
          <w:p w14:paraId="78EC7F7A" w14:textId="77777777" w:rsidR="00A412D8" w:rsidRPr="00227803" w:rsidRDefault="00A412D8" w:rsidP="00B117EC">
            <w:pPr>
              <w:rPr>
                <w:b/>
              </w:rPr>
            </w:pPr>
            <w:r w:rsidRPr="00227803">
              <w:rPr>
                <w:b/>
              </w:rPr>
              <w:t>Date</w:t>
            </w:r>
          </w:p>
        </w:tc>
        <w:tc>
          <w:tcPr>
            <w:tcW w:w="1370" w:type="pct"/>
            <w:tcBorders>
              <w:top w:val="single" w:sz="4" w:space="0" w:color="auto"/>
              <w:left w:val="single" w:sz="4" w:space="0" w:color="auto"/>
              <w:bottom w:val="single" w:sz="4" w:space="0" w:color="auto"/>
              <w:right w:val="single" w:sz="4" w:space="0" w:color="auto"/>
            </w:tcBorders>
            <w:hideMark/>
          </w:tcPr>
          <w:p w14:paraId="23E35A24" w14:textId="77777777" w:rsidR="00A412D8" w:rsidRPr="00227803" w:rsidRDefault="00A412D8" w:rsidP="00B117EC">
            <w:pPr>
              <w:rPr>
                <w:b/>
              </w:rPr>
            </w:pPr>
            <w:r w:rsidRPr="00227803">
              <w:rPr>
                <w:b/>
              </w:rPr>
              <w:t>Submitted by</w:t>
            </w:r>
          </w:p>
          <w:p w14:paraId="6405E36E" w14:textId="77777777" w:rsidR="00A412D8" w:rsidRPr="00227803" w:rsidRDefault="00A412D8" w:rsidP="00B117EC">
            <w:r w:rsidRPr="00227803">
              <w:t>(name, organisation, email)</w:t>
            </w:r>
          </w:p>
        </w:tc>
        <w:tc>
          <w:tcPr>
            <w:tcW w:w="2262" w:type="pct"/>
            <w:tcBorders>
              <w:top w:val="single" w:sz="4" w:space="0" w:color="auto"/>
              <w:left w:val="single" w:sz="4" w:space="0" w:color="auto"/>
              <w:bottom w:val="single" w:sz="4" w:space="0" w:color="auto"/>
              <w:right w:val="single" w:sz="4" w:space="0" w:color="auto"/>
            </w:tcBorders>
            <w:hideMark/>
          </w:tcPr>
          <w:p w14:paraId="50F2D052" w14:textId="77777777" w:rsidR="00A412D8" w:rsidRPr="00227803" w:rsidRDefault="00A412D8" w:rsidP="00B117EC">
            <w:pPr>
              <w:rPr>
                <w:b/>
              </w:rPr>
            </w:pPr>
            <w:r w:rsidRPr="00227803">
              <w:rPr>
                <w:b/>
              </w:rPr>
              <w:t>Suggested amendments</w:t>
            </w:r>
          </w:p>
          <w:p w14:paraId="0E2EC012" w14:textId="77777777" w:rsidR="00A412D8" w:rsidRPr="00227803" w:rsidRDefault="00A412D8" w:rsidP="00B117EC">
            <w:r w:rsidRPr="00227803">
              <w:t>(please indicate section, paragraph, page as needed)</w:t>
            </w:r>
          </w:p>
        </w:tc>
        <w:tc>
          <w:tcPr>
            <w:tcW w:w="512" w:type="pct"/>
            <w:tcBorders>
              <w:top w:val="single" w:sz="4" w:space="0" w:color="auto"/>
              <w:left w:val="single" w:sz="4" w:space="0" w:color="auto"/>
              <w:bottom w:val="single" w:sz="4" w:space="0" w:color="auto"/>
              <w:right w:val="single" w:sz="4" w:space="0" w:color="auto"/>
            </w:tcBorders>
            <w:hideMark/>
          </w:tcPr>
          <w:p w14:paraId="328B23B1" w14:textId="77777777" w:rsidR="00A412D8" w:rsidRPr="00227803" w:rsidRDefault="00A412D8" w:rsidP="00B117EC">
            <w:pPr>
              <w:rPr>
                <w:b/>
              </w:rPr>
            </w:pPr>
            <w:r w:rsidRPr="00227803">
              <w:rPr>
                <w:b/>
              </w:rPr>
              <w:t>Status</w:t>
            </w:r>
          </w:p>
        </w:tc>
      </w:tr>
      <w:tr w:rsidR="00A412D8" w14:paraId="32DDB9D9"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tcPr>
          <w:p w14:paraId="569B8767" w14:textId="77777777" w:rsidR="00A412D8" w:rsidRPr="00227803" w:rsidRDefault="00A412D8" w:rsidP="00B117EC"/>
        </w:tc>
        <w:tc>
          <w:tcPr>
            <w:tcW w:w="1370" w:type="pct"/>
            <w:tcBorders>
              <w:top w:val="single" w:sz="4" w:space="0" w:color="auto"/>
              <w:left w:val="single" w:sz="4" w:space="0" w:color="auto"/>
              <w:bottom w:val="single" w:sz="4" w:space="0" w:color="auto"/>
              <w:right w:val="single" w:sz="4" w:space="0" w:color="auto"/>
            </w:tcBorders>
          </w:tcPr>
          <w:p w14:paraId="27A66365" w14:textId="77777777" w:rsidR="00A412D8" w:rsidRPr="00227803" w:rsidRDefault="00A412D8" w:rsidP="00B117EC"/>
        </w:tc>
        <w:tc>
          <w:tcPr>
            <w:tcW w:w="2262" w:type="pct"/>
            <w:tcBorders>
              <w:top w:val="single" w:sz="4" w:space="0" w:color="auto"/>
              <w:left w:val="single" w:sz="4" w:space="0" w:color="auto"/>
              <w:bottom w:val="single" w:sz="4" w:space="0" w:color="auto"/>
              <w:right w:val="single" w:sz="4" w:space="0" w:color="auto"/>
            </w:tcBorders>
          </w:tcPr>
          <w:p w14:paraId="353FDF87" w14:textId="77777777" w:rsidR="00A412D8" w:rsidRPr="00227803" w:rsidRDefault="00A412D8" w:rsidP="00B117EC"/>
        </w:tc>
        <w:tc>
          <w:tcPr>
            <w:tcW w:w="512" w:type="pct"/>
            <w:tcBorders>
              <w:top w:val="single" w:sz="4" w:space="0" w:color="auto"/>
              <w:left w:val="single" w:sz="4" w:space="0" w:color="auto"/>
              <w:bottom w:val="single" w:sz="4" w:space="0" w:color="auto"/>
              <w:right w:val="single" w:sz="4" w:space="0" w:color="auto"/>
            </w:tcBorders>
          </w:tcPr>
          <w:p w14:paraId="6E6EFC9B" w14:textId="77777777" w:rsidR="00A412D8" w:rsidRPr="00227803" w:rsidRDefault="00A412D8" w:rsidP="00B117EC"/>
        </w:tc>
      </w:tr>
      <w:tr w:rsidR="00A412D8" w14:paraId="20CB479D"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tcPr>
          <w:p w14:paraId="7F2F9744" w14:textId="77777777" w:rsidR="00A412D8" w:rsidRDefault="00A412D8" w:rsidP="00B117EC"/>
        </w:tc>
        <w:tc>
          <w:tcPr>
            <w:tcW w:w="1370" w:type="pct"/>
            <w:tcBorders>
              <w:top w:val="single" w:sz="4" w:space="0" w:color="auto"/>
              <w:left w:val="single" w:sz="4" w:space="0" w:color="auto"/>
              <w:bottom w:val="single" w:sz="4" w:space="0" w:color="auto"/>
              <w:right w:val="single" w:sz="4" w:space="0" w:color="auto"/>
            </w:tcBorders>
          </w:tcPr>
          <w:p w14:paraId="5FCAF8F2" w14:textId="77777777" w:rsidR="00A412D8" w:rsidRDefault="00A412D8" w:rsidP="00B117EC"/>
        </w:tc>
        <w:tc>
          <w:tcPr>
            <w:tcW w:w="2262" w:type="pct"/>
            <w:tcBorders>
              <w:top w:val="single" w:sz="4" w:space="0" w:color="auto"/>
              <w:left w:val="single" w:sz="4" w:space="0" w:color="auto"/>
              <w:bottom w:val="single" w:sz="4" w:space="0" w:color="auto"/>
              <w:right w:val="single" w:sz="4" w:space="0" w:color="auto"/>
            </w:tcBorders>
          </w:tcPr>
          <w:p w14:paraId="08BD55D3" w14:textId="77777777" w:rsidR="00A412D8" w:rsidRDefault="00A412D8" w:rsidP="00B117EC"/>
        </w:tc>
        <w:tc>
          <w:tcPr>
            <w:tcW w:w="512" w:type="pct"/>
            <w:tcBorders>
              <w:top w:val="single" w:sz="4" w:space="0" w:color="auto"/>
              <w:left w:val="single" w:sz="4" w:space="0" w:color="auto"/>
              <w:bottom w:val="single" w:sz="4" w:space="0" w:color="auto"/>
              <w:right w:val="single" w:sz="4" w:space="0" w:color="auto"/>
            </w:tcBorders>
          </w:tcPr>
          <w:p w14:paraId="6292476F" w14:textId="77777777" w:rsidR="00A412D8" w:rsidRDefault="00A412D8" w:rsidP="00B117EC"/>
        </w:tc>
      </w:tr>
      <w:tr w:rsidR="00A412D8" w14:paraId="3CC14067"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tcPr>
          <w:p w14:paraId="31872728" w14:textId="77777777" w:rsidR="00A412D8" w:rsidRDefault="00A412D8" w:rsidP="00B117EC"/>
        </w:tc>
        <w:tc>
          <w:tcPr>
            <w:tcW w:w="1370" w:type="pct"/>
            <w:tcBorders>
              <w:top w:val="single" w:sz="4" w:space="0" w:color="auto"/>
              <w:left w:val="single" w:sz="4" w:space="0" w:color="auto"/>
              <w:bottom w:val="single" w:sz="4" w:space="0" w:color="auto"/>
              <w:right w:val="single" w:sz="4" w:space="0" w:color="auto"/>
            </w:tcBorders>
          </w:tcPr>
          <w:p w14:paraId="28F5EA32" w14:textId="77777777" w:rsidR="00A412D8" w:rsidRDefault="00A412D8" w:rsidP="00B117EC"/>
        </w:tc>
        <w:tc>
          <w:tcPr>
            <w:tcW w:w="2262" w:type="pct"/>
            <w:tcBorders>
              <w:top w:val="single" w:sz="4" w:space="0" w:color="auto"/>
              <w:left w:val="single" w:sz="4" w:space="0" w:color="auto"/>
              <w:bottom w:val="single" w:sz="4" w:space="0" w:color="auto"/>
              <w:right w:val="single" w:sz="4" w:space="0" w:color="auto"/>
            </w:tcBorders>
          </w:tcPr>
          <w:p w14:paraId="7D2650A2" w14:textId="77777777" w:rsidR="00A412D8" w:rsidRDefault="00A412D8" w:rsidP="00B117EC"/>
        </w:tc>
        <w:tc>
          <w:tcPr>
            <w:tcW w:w="512" w:type="pct"/>
            <w:tcBorders>
              <w:top w:val="single" w:sz="4" w:space="0" w:color="auto"/>
              <w:left w:val="single" w:sz="4" w:space="0" w:color="auto"/>
              <w:bottom w:val="single" w:sz="4" w:space="0" w:color="auto"/>
              <w:right w:val="single" w:sz="4" w:space="0" w:color="auto"/>
            </w:tcBorders>
          </w:tcPr>
          <w:p w14:paraId="41F05A33" w14:textId="77777777" w:rsidR="00A412D8" w:rsidRDefault="00A412D8" w:rsidP="00B117EC"/>
        </w:tc>
      </w:tr>
      <w:tr w:rsidR="00A412D8" w14:paraId="3F1AB215"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tcPr>
          <w:p w14:paraId="5CD07C25" w14:textId="77777777" w:rsidR="00A412D8" w:rsidRDefault="00A412D8" w:rsidP="00B117EC"/>
        </w:tc>
        <w:tc>
          <w:tcPr>
            <w:tcW w:w="1370" w:type="pct"/>
            <w:tcBorders>
              <w:top w:val="single" w:sz="4" w:space="0" w:color="auto"/>
              <w:left w:val="single" w:sz="4" w:space="0" w:color="auto"/>
              <w:bottom w:val="single" w:sz="4" w:space="0" w:color="auto"/>
              <w:right w:val="single" w:sz="4" w:space="0" w:color="auto"/>
            </w:tcBorders>
          </w:tcPr>
          <w:p w14:paraId="45377148" w14:textId="77777777" w:rsidR="00A412D8" w:rsidRDefault="00A412D8" w:rsidP="00B117EC"/>
        </w:tc>
        <w:tc>
          <w:tcPr>
            <w:tcW w:w="2262" w:type="pct"/>
            <w:tcBorders>
              <w:top w:val="single" w:sz="4" w:space="0" w:color="auto"/>
              <w:left w:val="single" w:sz="4" w:space="0" w:color="auto"/>
              <w:bottom w:val="single" w:sz="4" w:space="0" w:color="auto"/>
              <w:right w:val="single" w:sz="4" w:space="0" w:color="auto"/>
            </w:tcBorders>
          </w:tcPr>
          <w:p w14:paraId="7B01A8D3" w14:textId="77777777" w:rsidR="00A412D8" w:rsidRDefault="00A412D8" w:rsidP="00B117EC"/>
        </w:tc>
        <w:tc>
          <w:tcPr>
            <w:tcW w:w="512" w:type="pct"/>
            <w:tcBorders>
              <w:top w:val="single" w:sz="4" w:space="0" w:color="auto"/>
              <w:left w:val="single" w:sz="4" w:space="0" w:color="auto"/>
              <w:bottom w:val="single" w:sz="4" w:space="0" w:color="auto"/>
              <w:right w:val="single" w:sz="4" w:space="0" w:color="auto"/>
            </w:tcBorders>
          </w:tcPr>
          <w:p w14:paraId="09B6A669" w14:textId="77777777" w:rsidR="00A412D8" w:rsidRDefault="00A412D8" w:rsidP="00B117EC"/>
        </w:tc>
      </w:tr>
      <w:tr w:rsidR="00A412D8" w14:paraId="0E326F82"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tcPr>
          <w:p w14:paraId="7E2EA259" w14:textId="77777777" w:rsidR="00A412D8" w:rsidRDefault="00A412D8" w:rsidP="00B117EC"/>
        </w:tc>
        <w:tc>
          <w:tcPr>
            <w:tcW w:w="1370" w:type="pct"/>
            <w:tcBorders>
              <w:top w:val="single" w:sz="4" w:space="0" w:color="auto"/>
              <w:left w:val="single" w:sz="4" w:space="0" w:color="auto"/>
              <w:bottom w:val="single" w:sz="4" w:space="0" w:color="auto"/>
              <w:right w:val="single" w:sz="4" w:space="0" w:color="auto"/>
            </w:tcBorders>
          </w:tcPr>
          <w:p w14:paraId="5E171E8D" w14:textId="77777777" w:rsidR="00A412D8" w:rsidRDefault="00A412D8" w:rsidP="00B117EC"/>
        </w:tc>
        <w:tc>
          <w:tcPr>
            <w:tcW w:w="2262" w:type="pct"/>
            <w:tcBorders>
              <w:top w:val="single" w:sz="4" w:space="0" w:color="auto"/>
              <w:left w:val="single" w:sz="4" w:space="0" w:color="auto"/>
              <w:bottom w:val="single" w:sz="4" w:space="0" w:color="auto"/>
              <w:right w:val="single" w:sz="4" w:space="0" w:color="auto"/>
            </w:tcBorders>
          </w:tcPr>
          <w:p w14:paraId="37FBE88E" w14:textId="77777777" w:rsidR="00A412D8" w:rsidRDefault="00A412D8" w:rsidP="00B117EC"/>
        </w:tc>
        <w:tc>
          <w:tcPr>
            <w:tcW w:w="512" w:type="pct"/>
            <w:tcBorders>
              <w:top w:val="single" w:sz="4" w:space="0" w:color="auto"/>
              <w:left w:val="single" w:sz="4" w:space="0" w:color="auto"/>
              <w:bottom w:val="single" w:sz="4" w:space="0" w:color="auto"/>
              <w:right w:val="single" w:sz="4" w:space="0" w:color="auto"/>
            </w:tcBorders>
          </w:tcPr>
          <w:p w14:paraId="5615678D" w14:textId="77777777" w:rsidR="00A412D8" w:rsidRDefault="00A412D8" w:rsidP="00B117EC"/>
        </w:tc>
      </w:tr>
      <w:tr w:rsidR="00A412D8" w14:paraId="1632DFD9"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tcPr>
          <w:p w14:paraId="3FEC7531" w14:textId="77777777" w:rsidR="00A412D8" w:rsidRDefault="00A412D8" w:rsidP="00B117EC"/>
        </w:tc>
        <w:tc>
          <w:tcPr>
            <w:tcW w:w="1370" w:type="pct"/>
            <w:tcBorders>
              <w:top w:val="single" w:sz="4" w:space="0" w:color="auto"/>
              <w:left w:val="single" w:sz="4" w:space="0" w:color="auto"/>
              <w:bottom w:val="single" w:sz="4" w:space="0" w:color="auto"/>
              <w:right w:val="single" w:sz="4" w:space="0" w:color="auto"/>
            </w:tcBorders>
          </w:tcPr>
          <w:p w14:paraId="6D589DA8" w14:textId="77777777" w:rsidR="00A412D8" w:rsidRDefault="00A412D8" w:rsidP="00B117EC"/>
        </w:tc>
        <w:tc>
          <w:tcPr>
            <w:tcW w:w="2262" w:type="pct"/>
            <w:tcBorders>
              <w:top w:val="single" w:sz="4" w:space="0" w:color="auto"/>
              <w:left w:val="single" w:sz="4" w:space="0" w:color="auto"/>
              <w:bottom w:val="single" w:sz="4" w:space="0" w:color="auto"/>
              <w:right w:val="single" w:sz="4" w:space="0" w:color="auto"/>
            </w:tcBorders>
          </w:tcPr>
          <w:p w14:paraId="7BA53375" w14:textId="77777777" w:rsidR="00A412D8" w:rsidRDefault="00A412D8" w:rsidP="00B117EC"/>
        </w:tc>
        <w:tc>
          <w:tcPr>
            <w:tcW w:w="512" w:type="pct"/>
            <w:tcBorders>
              <w:top w:val="single" w:sz="4" w:space="0" w:color="auto"/>
              <w:left w:val="single" w:sz="4" w:space="0" w:color="auto"/>
              <w:bottom w:val="single" w:sz="4" w:space="0" w:color="auto"/>
              <w:right w:val="single" w:sz="4" w:space="0" w:color="auto"/>
            </w:tcBorders>
          </w:tcPr>
          <w:p w14:paraId="0BB41268" w14:textId="77777777" w:rsidR="00A412D8" w:rsidRDefault="00A412D8" w:rsidP="00B117EC"/>
        </w:tc>
      </w:tr>
      <w:tr w:rsidR="00A412D8" w14:paraId="1985E964" w14:textId="77777777" w:rsidTr="00B117EC">
        <w:trPr>
          <w:trHeight w:val="20"/>
        </w:trPr>
        <w:tc>
          <w:tcPr>
            <w:tcW w:w="856" w:type="pct"/>
            <w:tcBorders>
              <w:top w:val="single" w:sz="4" w:space="0" w:color="auto"/>
              <w:left w:val="single" w:sz="4" w:space="0" w:color="auto"/>
              <w:bottom w:val="single" w:sz="4" w:space="0" w:color="auto"/>
              <w:right w:val="single" w:sz="4" w:space="0" w:color="auto"/>
            </w:tcBorders>
          </w:tcPr>
          <w:p w14:paraId="38C246EC" w14:textId="77777777" w:rsidR="00A412D8" w:rsidRDefault="00A412D8" w:rsidP="00B117EC"/>
        </w:tc>
        <w:tc>
          <w:tcPr>
            <w:tcW w:w="1370" w:type="pct"/>
            <w:tcBorders>
              <w:top w:val="single" w:sz="4" w:space="0" w:color="auto"/>
              <w:left w:val="single" w:sz="4" w:space="0" w:color="auto"/>
              <w:bottom w:val="single" w:sz="4" w:space="0" w:color="auto"/>
              <w:right w:val="single" w:sz="4" w:space="0" w:color="auto"/>
            </w:tcBorders>
          </w:tcPr>
          <w:p w14:paraId="1027A354" w14:textId="77777777" w:rsidR="00A412D8" w:rsidRDefault="00A412D8" w:rsidP="00B117EC"/>
        </w:tc>
        <w:tc>
          <w:tcPr>
            <w:tcW w:w="2262" w:type="pct"/>
            <w:tcBorders>
              <w:top w:val="single" w:sz="4" w:space="0" w:color="auto"/>
              <w:left w:val="single" w:sz="4" w:space="0" w:color="auto"/>
              <w:bottom w:val="single" w:sz="4" w:space="0" w:color="auto"/>
              <w:right w:val="single" w:sz="4" w:space="0" w:color="auto"/>
            </w:tcBorders>
          </w:tcPr>
          <w:p w14:paraId="5BB18DF4" w14:textId="77777777" w:rsidR="00A412D8" w:rsidRDefault="00A412D8" w:rsidP="00B117EC"/>
        </w:tc>
        <w:tc>
          <w:tcPr>
            <w:tcW w:w="512" w:type="pct"/>
            <w:tcBorders>
              <w:top w:val="single" w:sz="4" w:space="0" w:color="auto"/>
              <w:left w:val="single" w:sz="4" w:space="0" w:color="auto"/>
              <w:bottom w:val="single" w:sz="4" w:space="0" w:color="auto"/>
              <w:right w:val="single" w:sz="4" w:space="0" w:color="auto"/>
            </w:tcBorders>
          </w:tcPr>
          <w:p w14:paraId="459FAB92" w14:textId="77777777" w:rsidR="00A412D8" w:rsidRDefault="00A412D8" w:rsidP="00B117EC"/>
        </w:tc>
      </w:tr>
    </w:tbl>
    <w:p w14:paraId="2A0B8F67" w14:textId="77777777" w:rsidR="00A412D8" w:rsidRDefault="00A412D8">
      <w:pPr>
        <w:spacing w:before="0" w:after="200" w:line="276" w:lineRule="auto"/>
        <w:rPr>
          <w:b/>
          <w:sz w:val="24"/>
        </w:rPr>
      </w:pPr>
    </w:p>
    <w:p w14:paraId="44F3AF7F" w14:textId="47A8993D" w:rsidR="001636E1" w:rsidRPr="00D76FED" w:rsidRDefault="001636E1" w:rsidP="001636E1">
      <w:pPr>
        <w:pStyle w:val="GeneralHeading1"/>
        <w:jc w:val="center"/>
        <w:rPr>
          <w:sz w:val="24"/>
        </w:rPr>
      </w:pPr>
      <w:r w:rsidRPr="00D76FED">
        <w:rPr>
          <w:sz w:val="24"/>
        </w:rPr>
        <w:t>H</w:t>
      </w:r>
      <w:r w:rsidR="00CB348E" w:rsidRPr="00D76FED">
        <w:rPr>
          <w:sz w:val="24"/>
        </w:rPr>
        <w:t>ousing, Land and Property Law</w:t>
      </w:r>
      <w:r w:rsidR="005E4649">
        <w:rPr>
          <w:sz w:val="24"/>
        </w:rPr>
        <w:t xml:space="preserve"> in Nepal</w:t>
      </w:r>
    </w:p>
    <w:p w14:paraId="53A07294" w14:textId="77777777" w:rsidR="005F4174" w:rsidRPr="003565E4" w:rsidRDefault="003565E4" w:rsidP="003565E4">
      <w:pPr>
        <w:rPr>
          <w:b/>
          <w:sz w:val="22"/>
          <w:szCs w:val="22"/>
        </w:rPr>
      </w:pPr>
      <w:bookmarkStart w:id="1" w:name="_Toc512952851"/>
      <w:bookmarkStart w:id="2" w:name="_Toc512953125"/>
      <w:r>
        <w:rPr>
          <w:b/>
          <w:sz w:val="22"/>
          <w:szCs w:val="22"/>
        </w:rPr>
        <w:t>1</w:t>
      </w:r>
      <w:r>
        <w:rPr>
          <w:b/>
          <w:sz w:val="22"/>
          <w:szCs w:val="22"/>
        </w:rPr>
        <w:tab/>
      </w:r>
      <w:r w:rsidR="005F4174" w:rsidRPr="003565E4">
        <w:rPr>
          <w:b/>
          <w:sz w:val="22"/>
          <w:szCs w:val="22"/>
        </w:rPr>
        <w:t>Key laws and actors</w:t>
      </w:r>
      <w:bookmarkEnd w:id="1"/>
      <w:bookmarkEnd w:id="2"/>
    </w:p>
    <w:tbl>
      <w:tblPr>
        <w:tblStyle w:val="TableGrid"/>
        <w:tblW w:w="0" w:type="auto"/>
        <w:tblInd w:w="108" w:type="dxa"/>
        <w:tblLook w:val="04A0" w:firstRow="1" w:lastRow="0" w:firstColumn="1" w:lastColumn="0" w:noHBand="0" w:noVBand="1"/>
      </w:tblPr>
      <w:tblGrid>
        <w:gridCol w:w="1550"/>
        <w:gridCol w:w="7688"/>
      </w:tblGrid>
      <w:tr w:rsidR="005F4174" w:rsidRPr="007A1DA0" w14:paraId="5F3D4E5F" w14:textId="77777777" w:rsidTr="008168BF">
        <w:tc>
          <w:tcPr>
            <w:tcW w:w="1560" w:type="dxa"/>
            <w:shd w:val="clear" w:color="auto" w:fill="auto"/>
          </w:tcPr>
          <w:bookmarkStart w:id="3" w:name="_Toc512952852"/>
          <w:bookmarkStart w:id="4" w:name="_Toc512953126"/>
          <w:p w14:paraId="4D5870A1" w14:textId="34CA6A0B" w:rsidR="005F4174" w:rsidRPr="003565E4" w:rsidRDefault="004B4BFC" w:rsidP="003565E4">
            <w:r>
              <w:fldChar w:fldCharType="begin"/>
            </w:r>
            <w:r>
              <w:instrText xml:space="preserve"> HYPERLINK  \l "sec_2_1_a" </w:instrText>
            </w:r>
            <w:r>
              <w:fldChar w:fldCharType="separate"/>
            </w:r>
            <w:r w:rsidR="005F4174" w:rsidRPr="004B4BFC">
              <w:rPr>
                <w:rStyle w:val="Hyperlink"/>
              </w:rPr>
              <w:t>Laws</w:t>
            </w:r>
            <w:bookmarkEnd w:id="3"/>
            <w:bookmarkEnd w:id="4"/>
            <w:r>
              <w:fldChar w:fldCharType="end"/>
            </w:r>
          </w:p>
        </w:tc>
        <w:tc>
          <w:tcPr>
            <w:tcW w:w="7904" w:type="dxa"/>
            <w:shd w:val="clear" w:color="auto" w:fill="auto"/>
          </w:tcPr>
          <w:p w14:paraId="50D38FB7" w14:textId="53AC0F57" w:rsidR="005E4649" w:rsidRPr="00A921DA" w:rsidRDefault="00C8481E" w:rsidP="0048308F">
            <w:r>
              <w:t xml:space="preserve">The main laws governing housing, land and property are the </w:t>
            </w:r>
            <w:hyperlink r:id="rId9" w:history="1">
              <w:r w:rsidRPr="00A87695">
                <w:rPr>
                  <w:rStyle w:val="Hyperlink"/>
                  <w:i/>
                </w:rPr>
                <w:t>Constitution</w:t>
              </w:r>
              <w:r w:rsidR="00AD5FFE" w:rsidRPr="00A87695">
                <w:rPr>
                  <w:rStyle w:val="Hyperlink"/>
                  <w:i/>
                </w:rPr>
                <w:t xml:space="preserve"> of Nepal </w:t>
              </w:r>
              <w:r w:rsidR="00AD5FFE" w:rsidRPr="00A87695">
                <w:rPr>
                  <w:rStyle w:val="Hyperlink"/>
                </w:rPr>
                <w:t>(2015)</w:t>
              </w:r>
            </w:hyperlink>
            <w:r>
              <w:t>, the</w:t>
            </w:r>
            <w:r w:rsidR="00F156E5">
              <w:t xml:space="preserve"> </w:t>
            </w:r>
            <w:hyperlink r:id="rId10" w:history="1">
              <w:r w:rsidR="00A87695" w:rsidRPr="00F7285C">
                <w:rPr>
                  <w:rStyle w:val="Hyperlink"/>
                  <w:i/>
                </w:rPr>
                <w:t xml:space="preserve">Land (Survey and Measurement) Act, 2019 </w:t>
              </w:r>
              <w:r w:rsidR="00A87695" w:rsidRPr="00F7285C">
                <w:rPr>
                  <w:rStyle w:val="Hyperlink"/>
                </w:rPr>
                <w:t>(1963)</w:t>
              </w:r>
            </w:hyperlink>
            <w:r w:rsidR="00F156E5">
              <w:t>,</w:t>
            </w:r>
            <w:r w:rsidR="00F156E5" w:rsidRPr="006473C7">
              <w:rPr>
                <w:i/>
              </w:rPr>
              <w:t xml:space="preserve"> </w:t>
            </w:r>
            <w:r w:rsidR="00F156E5">
              <w:t xml:space="preserve">the </w:t>
            </w:r>
            <w:hyperlink r:id="rId11" w:history="1">
              <w:r w:rsidR="00A87695" w:rsidRPr="00A87695">
                <w:rPr>
                  <w:rStyle w:val="Hyperlink"/>
                  <w:i/>
                </w:rPr>
                <w:t>Lands Act, 2021</w:t>
              </w:r>
              <w:r w:rsidR="00A87695" w:rsidRPr="00A87695">
                <w:rPr>
                  <w:rStyle w:val="Hyperlink"/>
                </w:rPr>
                <w:t xml:space="preserve"> (1964)</w:t>
              </w:r>
            </w:hyperlink>
            <w:r w:rsidRPr="00FD7306">
              <w:t xml:space="preserve">, the </w:t>
            </w:r>
            <w:hyperlink r:id="rId12" w:history="1">
              <w:r w:rsidR="00A87695" w:rsidRPr="00A87695">
                <w:rPr>
                  <w:rStyle w:val="Hyperlink"/>
                  <w:i/>
                </w:rPr>
                <w:t xml:space="preserve">Land Acquisition Act, 2034 </w:t>
              </w:r>
              <w:r w:rsidR="00A87695" w:rsidRPr="00A87695">
                <w:rPr>
                  <w:rStyle w:val="Hyperlink"/>
                </w:rPr>
                <w:t>(1977)</w:t>
              </w:r>
            </w:hyperlink>
            <w:r w:rsidR="00F156E5" w:rsidRPr="00FD7306">
              <w:t xml:space="preserve">, </w:t>
            </w:r>
            <w:r w:rsidR="00F156E5">
              <w:t xml:space="preserve">the </w:t>
            </w:r>
            <w:hyperlink r:id="rId13" w:history="1">
              <w:r w:rsidR="00A87695" w:rsidRPr="00A87695">
                <w:rPr>
                  <w:rStyle w:val="Hyperlink"/>
                  <w:i/>
                </w:rPr>
                <w:t xml:space="preserve">Land Revenue Act, 2034 </w:t>
              </w:r>
              <w:r w:rsidR="00A87695" w:rsidRPr="00A87695">
                <w:rPr>
                  <w:rStyle w:val="Hyperlink"/>
                </w:rPr>
                <w:t>(1978)</w:t>
              </w:r>
            </w:hyperlink>
            <w:r w:rsidR="00E60610">
              <w:t xml:space="preserve">, and the </w:t>
            </w:r>
            <w:r w:rsidR="00E60610">
              <w:rPr>
                <w:i/>
              </w:rPr>
              <w:t xml:space="preserve">Local Government Operation Act, 2074 </w:t>
            </w:r>
            <w:r w:rsidR="00E60610">
              <w:t>(2017)</w:t>
            </w:r>
            <w:r w:rsidR="00A95CCD">
              <w:t>.</w:t>
            </w:r>
          </w:p>
        </w:tc>
      </w:tr>
      <w:bookmarkStart w:id="5" w:name="_Toc512952853"/>
      <w:bookmarkStart w:id="6" w:name="_Toc512953127"/>
      <w:tr w:rsidR="005F4174" w:rsidRPr="007A1DA0" w14:paraId="15633E43" w14:textId="77777777" w:rsidTr="008168BF">
        <w:tc>
          <w:tcPr>
            <w:tcW w:w="1560" w:type="dxa"/>
            <w:shd w:val="clear" w:color="auto" w:fill="auto"/>
          </w:tcPr>
          <w:p w14:paraId="4DF48C1F" w14:textId="264B3B2C" w:rsidR="005F4174" w:rsidRPr="003565E4" w:rsidRDefault="00606116" w:rsidP="003565E4">
            <w:r>
              <w:fldChar w:fldCharType="begin"/>
            </w:r>
            <w:r>
              <w:instrText xml:space="preserve"> HYPERLINK  \l "Key_Govt_Actors" </w:instrText>
            </w:r>
            <w:r>
              <w:fldChar w:fldCharType="separate"/>
            </w:r>
            <w:r w:rsidR="005F4174" w:rsidRPr="00606116">
              <w:rPr>
                <w:rStyle w:val="Hyperlink"/>
              </w:rPr>
              <w:t>Key government actors</w:t>
            </w:r>
            <w:bookmarkEnd w:id="5"/>
            <w:bookmarkEnd w:id="6"/>
            <w:r>
              <w:fldChar w:fldCharType="end"/>
            </w:r>
          </w:p>
        </w:tc>
        <w:tc>
          <w:tcPr>
            <w:tcW w:w="7904" w:type="dxa"/>
            <w:shd w:val="clear" w:color="auto" w:fill="auto"/>
          </w:tcPr>
          <w:p w14:paraId="39B05389" w14:textId="52C31954" w:rsidR="005F4174" w:rsidRDefault="00875DDE" w:rsidP="00556360">
            <w:r>
              <w:t xml:space="preserve">The Ministry for </w:t>
            </w:r>
            <w:r w:rsidR="00C005C5">
              <w:t xml:space="preserve">Land Management, </w:t>
            </w:r>
            <w:r>
              <w:t>Cooperatives</w:t>
            </w:r>
            <w:r w:rsidR="002D5349">
              <w:t xml:space="preserve"> </w:t>
            </w:r>
            <w:r w:rsidR="00C005C5">
              <w:t xml:space="preserve">and Poverty Alleviation </w:t>
            </w:r>
            <w:r w:rsidR="002D5349">
              <w:t xml:space="preserve">is the </w:t>
            </w:r>
            <w:r w:rsidR="007C6767">
              <w:t xml:space="preserve">national </w:t>
            </w:r>
            <w:r w:rsidR="002D5349">
              <w:t>government</w:t>
            </w:r>
            <w:r w:rsidR="00E60610">
              <w:t>al</w:t>
            </w:r>
            <w:r w:rsidR="002D5349">
              <w:t xml:space="preserve"> body </w:t>
            </w:r>
            <w:r w:rsidR="00C005C5">
              <w:t xml:space="preserve">responsible for land management and administration. </w:t>
            </w:r>
            <w:r w:rsidR="00DA1A58">
              <w:t xml:space="preserve">The Ministry of Agriculture and Livestock Development is </w:t>
            </w:r>
            <w:r w:rsidR="007C6767">
              <w:t>the national government</w:t>
            </w:r>
            <w:r w:rsidR="00E60610">
              <w:t>al</w:t>
            </w:r>
            <w:r w:rsidR="007C6767">
              <w:t xml:space="preserve"> body </w:t>
            </w:r>
            <w:r w:rsidR="00DA1A58">
              <w:t xml:space="preserve">responsible for the development and growth of the agricultural sector. In addition, the maintenance of land records and the protection of public land is </w:t>
            </w:r>
            <w:r w:rsidR="007C6767">
              <w:t xml:space="preserve">a function carried out at the local </w:t>
            </w:r>
            <w:r w:rsidR="00A57238">
              <w:t xml:space="preserve">government </w:t>
            </w:r>
            <w:r w:rsidR="007C6767">
              <w:t xml:space="preserve">level by </w:t>
            </w:r>
            <w:r w:rsidR="00E60610">
              <w:t xml:space="preserve">Rural Municipality and Municipality. </w:t>
            </w:r>
          </w:p>
          <w:p w14:paraId="3DDAFE86" w14:textId="480EC1EA" w:rsidR="005E4649" w:rsidRPr="007A1DA0" w:rsidRDefault="00DA1A58" w:rsidP="00556360">
            <w:r>
              <w:t xml:space="preserve">There are also a number of non-governmental bodies that </w:t>
            </w:r>
            <w:r w:rsidR="007C6767">
              <w:t>campaign</w:t>
            </w:r>
            <w:r>
              <w:t xml:space="preserve"> on policy issues related to land rights, including the National Land Rights Forum, Lumanti, and the Forum for Women, Law and Development.</w:t>
            </w:r>
          </w:p>
        </w:tc>
      </w:tr>
    </w:tbl>
    <w:tbl>
      <w:tblPr>
        <w:tblStyle w:val="TableGrid1"/>
        <w:tblW w:w="0" w:type="auto"/>
        <w:tblInd w:w="108" w:type="dxa"/>
        <w:tblLook w:val="04A0" w:firstRow="1" w:lastRow="0" w:firstColumn="1" w:lastColumn="0" w:noHBand="0" w:noVBand="1"/>
      </w:tblPr>
      <w:tblGrid>
        <w:gridCol w:w="1320"/>
        <w:gridCol w:w="1372"/>
        <w:gridCol w:w="4900"/>
        <w:gridCol w:w="1646"/>
      </w:tblGrid>
      <w:tr w:rsidR="00D76FED" w:rsidRPr="00C55E40" w14:paraId="3F9F8A18" w14:textId="77777777" w:rsidTr="008168BF">
        <w:tc>
          <w:tcPr>
            <w:tcW w:w="9464" w:type="dxa"/>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557505FD" w14:textId="343B5805" w:rsidR="00D76FED" w:rsidRPr="005C224E" w:rsidRDefault="003565E4" w:rsidP="00087F71">
            <w:pPr>
              <w:spacing w:line="276" w:lineRule="auto"/>
              <w:rPr>
                <w:b/>
                <w:sz w:val="22"/>
                <w:szCs w:val="22"/>
              </w:rPr>
            </w:pPr>
            <w:bookmarkStart w:id="7" w:name="_Toc512952855"/>
            <w:bookmarkStart w:id="8" w:name="_Toc512953129"/>
            <w:r w:rsidRPr="005C224E">
              <w:rPr>
                <w:b/>
                <w:sz w:val="22"/>
                <w:szCs w:val="22"/>
              </w:rPr>
              <w:t>2</w:t>
            </w:r>
            <w:r w:rsidRPr="005C224E">
              <w:rPr>
                <w:b/>
                <w:sz w:val="22"/>
                <w:szCs w:val="22"/>
              </w:rPr>
              <w:tab/>
            </w:r>
            <w:hyperlink w:anchor="Common_types_of_tenure" w:history="1">
              <w:r w:rsidR="001636E1" w:rsidRPr="005C224E">
                <w:rPr>
                  <w:rStyle w:val="Hyperlink"/>
                  <w:b/>
                  <w:color w:val="auto"/>
                  <w:sz w:val="22"/>
                  <w:szCs w:val="22"/>
                  <w:u w:val="none"/>
                </w:rPr>
                <w:t>Common types of tenure</w:t>
              </w:r>
              <w:bookmarkEnd w:id="7"/>
              <w:bookmarkEnd w:id="8"/>
            </w:hyperlink>
          </w:p>
          <w:p w14:paraId="05739ECB" w14:textId="75626C8C" w:rsidR="0068048E" w:rsidRPr="00FD7306" w:rsidRDefault="00655B29" w:rsidP="00FD7306">
            <w:pPr>
              <w:spacing w:line="276" w:lineRule="auto"/>
              <w:ind w:left="720"/>
            </w:pPr>
            <w:r w:rsidRPr="00AE313C">
              <w:t>Land registration is compulsory in Nepal</w:t>
            </w:r>
            <w:r w:rsidR="006E35BB">
              <w:t xml:space="preserve">, giving rise to the relevant land rights, </w:t>
            </w:r>
            <w:r w:rsidRPr="00AE313C">
              <w:t xml:space="preserve">and </w:t>
            </w:r>
            <w:r w:rsidR="001A199D" w:rsidRPr="00AE313C">
              <w:t>the</w:t>
            </w:r>
            <w:r w:rsidRPr="00AE313C">
              <w:t xml:space="preserve"> </w:t>
            </w:r>
            <w:r w:rsidR="006E35BB">
              <w:t xml:space="preserve">land </w:t>
            </w:r>
            <w:r w:rsidRPr="00AE313C">
              <w:t xml:space="preserve">register </w:t>
            </w:r>
            <w:r w:rsidR="00A57238" w:rsidRPr="00FD7306">
              <w:t xml:space="preserve">must </w:t>
            </w:r>
            <w:r w:rsidR="001A199D" w:rsidRPr="00AE313C">
              <w:t>be updated upon transfer of land</w:t>
            </w:r>
            <w:r w:rsidRPr="00AE313C">
              <w:t>.</w:t>
            </w:r>
            <w:r w:rsidR="001A199D" w:rsidRPr="00AE313C">
              <w:t xml:space="preserve"> </w:t>
            </w:r>
            <w:r w:rsidR="006473C7" w:rsidRPr="00FD7306">
              <w:t>I</w:t>
            </w:r>
            <w:r w:rsidR="0068048E" w:rsidRPr="00AE313C">
              <w:t>n practice</w:t>
            </w:r>
            <w:r w:rsidR="00A57238" w:rsidRPr="00FD7306">
              <w:t>,</w:t>
            </w:r>
            <w:r w:rsidR="0068048E" w:rsidRPr="00AE313C">
              <w:t xml:space="preserve"> a considerable amount of land in Nepal remains unregistered, and </w:t>
            </w:r>
            <w:r w:rsidR="00AE313C" w:rsidRPr="00FD7306">
              <w:t xml:space="preserve">it can be difficult to precisely discern boundaries between different parcels of land because of weaknesses in cadastral mapping. </w:t>
            </w:r>
            <w:r w:rsidR="0068048E" w:rsidRPr="00AE313C">
              <w:t>The table below summarises the three types of tenure in Nepal.</w:t>
            </w:r>
            <w:r w:rsidR="0068048E">
              <w:t xml:space="preserve"> </w:t>
            </w:r>
          </w:p>
        </w:tc>
      </w:tr>
      <w:tr w:rsidR="00E008D4" w:rsidRPr="00C55E40" w14:paraId="519523B1" w14:textId="77777777" w:rsidTr="00D300EC">
        <w:tc>
          <w:tcPr>
            <w:tcW w:w="1328" w:type="dxa"/>
            <w:tcBorders>
              <w:top w:val="single" w:sz="4" w:space="0" w:color="auto"/>
              <w:left w:val="single" w:sz="4" w:space="0" w:color="auto"/>
              <w:bottom w:val="single" w:sz="4" w:space="0" w:color="auto"/>
              <w:right w:val="single" w:sz="4" w:space="0" w:color="auto"/>
            </w:tcBorders>
            <w:shd w:val="clear" w:color="auto" w:fill="000000" w:themeFill="text1"/>
          </w:tcPr>
          <w:p w14:paraId="668184F8" w14:textId="77777777" w:rsidR="00E008D4" w:rsidRPr="007A1DA0" w:rsidRDefault="00E008D4" w:rsidP="00704738">
            <w:pPr>
              <w:spacing w:line="276" w:lineRule="auto"/>
              <w:rPr>
                <w:rFonts w:cs="Arial"/>
                <w:b/>
              </w:rPr>
            </w:pPr>
            <w:r w:rsidRPr="007A1DA0">
              <w:rPr>
                <w:rFonts w:cs="Arial"/>
                <w:b/>
              </w:rPr>
              <w:t>Tenure</w:t>
            </w:r>
          </w:p>
        </w:tc>
        <w:tc>
          <w:tcPr>
            <w:tcW w:w="1372" w:type="dxa"/>
            <w:tcBorders>
              <w:top w:val="single" w:sz="4" w:space="0" w:color="auto"/>
              <w:left w:val="single" w:sz="4" w:space="0" w:color="auto"/>
              <w:bottom w:val="single" w:sz="4" w:space="0" w:color="auto"/>
              <w:right w:val="single" w:sz="4" w:space="0" w:color="auto"/>
            </w:tcBorders>
            <w:shd w:val="clear" w:color="auto" w:fill="000000" w:themeFill="text1"/>
          </w:tcPr>
          <w:p w14:paraId="11D71E86" w14:textId="77777777" w:rsidR="00E008D4" w:rsidRPr="007A1DA0" w:rsidRDefault="00E008D4" w:rsidP="00704738">
            <w:pPr>
              <w:spacing w:line="276" w:lineRule="auto"/>
              <w:rPr>
                <w:b/>
              </w:rPr>
            </w:pPr>
            <w:r w:rsidRPr="007A1DA0">
              <w:rPr>
                <w:b/>
              </w:rPr>
              <w:t>Commonly Registered?</w:t>
            </w:r>
          </w:p>
        </w:tc>
        <w:tc>
          <w:tcPr>
            <w:tcW w:w="5097" w:type="dxa"/>
            <w:tcBorders>
              <w:top w:val="single" w:sz="4" w:space="0" w:color="auto"/>
              <w:left w:val="single" w:sz="4" w:space="0" w:color="auto"/>
              <w:bottom w:val="single" w:sz="4" w:space="0" w:color="auto"/>
              <w:right w:val="single" w:sz="4" w:space="0" w:color="auto"/>
            </w:tcBorders>
            <w:shd w:val="clear" w:color="auto" w:fill="000000" w:themeFill="text1"/>
          </w:tcPr>
          <w:p w14:paraId="04BABAE6" w14:textId="77777777" w:rsidR="00E008D4" w:rsidRPr="007A1DA0" w:rsidRDefault="00E008D4" w:rsidP="00704738">
            <w:pPr>
              <w:spacing w:line="276" w:lineRule="auto"/>
              <w:rPr>
                <w:rFonts w:cs="Arial"/>
                <w:b/>
              </w:rPr>
            </w:pPr>
            <w:r w:rsidRPr="007A1DA0">
              <w:rPr>
                <w:b/>
              </w:rPr>
              <w:t>Key Features</w:t>
            </w:r>
          </w:p>
        </w:tc>
        <w:tc>
          <w:tcPr>
            <w:tcW w:w="1667" w:type="dxa"/>
            <w:tcBorders>
              <w:top w:val="single" w:sz="4" w:space="0" w:color="auto"/>
              <w:left w:val="single" w:sz="4" w:space="0" w:color="auto"/>
              <w:bottom w:val="single" w:sz="4" w:space="0" w:color="auto"/>
              <w:right w:val="single" w:sz="4" w:space="0" w:color="auto"/>
            </w:tcBorders>
            <w:shd w:val="clear" w:color="auto" w:fill="000000" w:themeFill="text1"/>
          </w:tcPr>
          <w:p w14:paraId="0AA0B039" w14:textId="77777777" w:rsidR="00E008D4" w:rsidRPr="007A1DA0" w:rsidRDefault="00E008D4" w:rsidP="00704738">
            <w:pPr>
              <w:spacing w:line="276" w:lineRule="auto"/>
              <w:rPr>
                <w:b/>
              </w:rPr>
            </w:pPr>
            <w:r w:rsidRPr="007A1DA0">
              <w:rPr>
                <w:b/>
              </w:rPr>
              <w:t>Title document</w:t>
            </w:r>
          </w:p>
        </w:tc>
      </w:tr>
      <w:tr w:rsidR="00E008D4" w:rsidRPr="00C55E40" w14:paraId="14A150EC" w14:textId="77777777" w:rsidTr="00D300EC">
        <w:tc>
          <w:tcPr>
            <w:tcW w:w="1328" w:type="dxa"/>
            <w:tcBorders>
              <w:top w:val="single" w:sz="4" w:space="0" w:color="auto"/>
            </w:tcBorders>
            <w:shd w:val="clear" w:color="auto" w:fill="auto"/>
          </w:tcPr>
          <w:p w14:paraId="189D9A16" w14:textId="789979B9" w:rsidR="005E4649" w:rsidRDefault="00A412D8" w:rsidP="003565E4">
            <w:hyperlink w:anchor="Ownership" w:history="1">
              <w:r w:rsidR="007C6767" w:rsidRPr="001178CE">
                <w:rPr>
                  <w:rStyle w:val="Hyperlink"/>
                </w:rPr>
                <w:t>Ownership</w:t>
              </w:r>
            </w:hyperlink>
          </w:p>
          <w:p w14:paraId="712CFE21" w14:textId="77777777" w:rsidR="005E4649" w:rsidRPr="003565E4" w:rsidRDefault="005E4649" w:rsidP="003565E4"/>
        </w:tc>
        <w:tc>
          <w:tcPr>
            <w:tcW w:w="1372" w:type="dxa"/>
            <w:tcBorders>
              <w:top w:val="single" w:sz="4" w:space="0" w:color="auto"/>
            </w:tcBorders>
            <w:shd w:val="clear" w:color="auto" w:fill="auto"/>
          </w:tcPr>
          <w:p w14:paraId="661E2468" w14:textId="5FAABB95" w:rsidR="00E008D4" w:rsidRPr="007A1DA0" w:rsidRDefault="0068048E">
            <w:pPr>
              <w:spacing w:line="276" w:lineRule="auto"/>
              <w:rPr>
                <w:rFonts w:cs="Arial"/>
              </w:rPr>
            </w:pPr>
            <w:r w:rsidRPr="00166A84">
              <w:rPr>
                <w:rFonts w:cs="Arial"/>
              </w:rPr>
              <w:t>Yes</w:t>
            </w:r>
          </w:p>
        </w:tc>
        <w:tc>
          <w:tcPr>
            <w:tcW w:w="5097" w:type="dxa"/>
            <w:tcBorders>
              <w:top w:val="single" w:sz="4" w:space="0" w:color="auto"/>
            </w:tcBorders>
            <w:shd w:val="clear" w:color="auto" w:fill="auto"/>
          </w:tcPr>
          <w:p w14:paraId="2D67A3B1" w14:textId="76429580" w:rsidR="00E008D4" w:rsidRPr="007A1DA0" w:rsidRDefault="00E80E11">
            <w:pPr>
              <w:spacing w:line="276" w:lineRule="auto"/>
              <w:rPr>
                <w:rFonts w:cs="Arial"/>
              </w:rPr>
            </w:pPr>
            <w:r>
              <w:rPr>
                <w:rFonts w:cs="Arial"/>
              </w:rPr>
              <w:t>Private land ca</w:t>
            </w:r>
            <w:r w:rsidR="00A95CCD">
              <w:rPr>
                <w:rFonts w:cs="Arial"/>
              </w:rPr>
              <w:t>n be owned by Nepalese citizens. It</w:t>
            </w:r>
            <w:r w:rsidR="00655B29">
              <w:rPr>
                <w:rFonts w:cs="Arial"/>
              </w:rPr>
              <w:t xml:space="preserve"> </w:t>
            </w:r>
            <w:r>
              <w:rPr>
                <w:rFonts w:cs="Arial"/>
              </w:rPr>
              <w:t>can be acquired by purchase, inheritance, or allocation by Government. A substantial amount of privately owned land is leased to tenants under tenancy arrangements with varying degrees of formality and security.</w:t>
            </w:r>
          </w:p>
        </w:tc>
        <w:tc>
          <w:tcPr>
            <w:tcW w:w="1667" w:type="dxa"/>
            <w:tcBorders>
              <w:top w:val="single" w:sz="4" w:space="0" w:color="auto"/>
            </w:tcBorders>
            <w:shd w:val="clear" w:color="auto" w:fill="auto"/>
          </w:tcPr>
          <w:p w14:paraId="7BFF8514" w14:textId="77777777" w:rsidR="00E008D4" w:rsidRPr="007A1DA0" w:rsidRDefault="00BD5FD6" w:rsidP="00704738">
            <w:pPr>
              <w:spacing w:line="276" w:lineRule="auto"/>
              <w:rPr>
                <w:rFonts w:cs="Arial"/>
              </w:rPr>
            </w:pPr>
            <w:r>
              <w:rPr>
                <w:rFonts w:cs="Arial"/>
              </w:rPr>
              <w:t>Registration</w:t>
            </w:r>
            <w:r w:rsidR="0068048E">
              <w:rPr>
                <w:rFonts w:cs="Arial"/>
              </w:rPr>
              <w:t xml:space="preserve"> certificate</w:t>
            </w:r>
          </w:p>
        </w:tc>
      </w:tr>
      <w:tr w:rsidR="00E008D4" w:rsidRPr="00C55E40" w14:paraId="04739CF2" w14:textId="77777777" w:rsidTr="00FD7306">
        <w:trPr>
          <w:trHeight w:val="477"/>
        </w:trPr>
        <w:tc>
          <w:tcPr>
            <w:tcW w:w="1328" w:type="dxa"/>
            <w:shd w:val="clear" w:color="auto" w:fill="auto"/>
          </w:tcPr>
          <w:p w14:paraId="0BAA1C91" w14:textId="0CEF47EF" w:rsidR="00E008D4" w:rsidRDefault="00A412D8" w:rsidP="003565E4">
            <w:hyperlink w:anchor="State_Land" w:history="1">
              <w:r w:rsidR="00ED6FA2" w:rsidRPr="001178CE">
                <w:rPr>
                  <w:rStyle w:val="Hyperlink"/>
                </w:rPr>
                <w:t>State land</w:t>
              </w:r>
            </w:hyperlink>
          </w:p>
          <w:p w14:paraId="3929D90D" w14:textId="77777777" w:rsidR="005E4649" w:rsidRPr="003565E4" w:rsidRDefault="005E4649" w:rsidP="003565E4"/>
        </w:tc>
        <w:tc>
          <w:tcPr>
            <w:tcW w:w="1372" w:type="dxa"/>
            <w:shd w:val="clear" w:color="auto" w:fill="auto"/>
          </w:tcPr>
          <w:p w14:paraId="1578A516" w14:textId="77777777" w:rsidR="00E008D4" w:rsidRPr="007A1DA0" w:rsidRDefault="006473C7" w:rsidP="00704738">
            <w:pPr>
              <w:spacing w:line="276" w:lineRule="auto"/>
              <w:rPr>
                <w:rFonts w:cs="Arial"/>
              </w:rPr>
            </w:pPr>
            <w:r>
              <w:rPr>
                <w:rFonts w:cs="Arial"/>
              </w:rPr>
              <w:t>Yes</w:t>
            </w:r>
          </w:p>
        </w:tc>
        <w:tc>
          <w:tcPr>
            <w:tcW w:w="5097" w:type="dxa"/>
            <w:shd w:val="clear" w:color="auto" w:fill="auto"/>
          </w:tcPr>
          <w:p w14:paraId="5061FCE8" w14:textId="77777777" w:rsidR="00E008D4" w:rsidRPr="007A1DA0" w:rsidRDefault="00680F7E">
            <w:pPr>
              <w:spacing w:line="276" w:lineRule="auto"/>
              <w:rPr>
                <w:rFonts w:cs="Arial"/>
              </w:rPr>
            </w:pPr>
            <w:r>
              <w:rPr>
                <w:rFonts w:cs="Arial"/>
              </w:rPr>
              <w:t xml:space="preserve">State land is comprised of public land </w:t>
            </w:r>
            <w:r w:rsidR="00C778AC">
              <w:rPr>
                <w:rFonts w:cs="Arial"/>
              </w:rPr>
              <w:t>(</w:t>
            </w:r>
            <w:r w:rsidR="006473C7">
              <w:rPr>
                <w:rFonts w:cs="Arial"/>
              </w:rPr>
              <w:t xml:space="preserve">which is land </w:t>
            </w:r>
            <w:r>
              <w:rPr>
                <w:rFonts w:cs="Arial"/>
              </w:rPr>
              <w:t>used by the gene</w:t>
            </w:r>
            <w:r w:rsidR="00C778AC">
              <w:rPr>
                <w:rFonts w:cs="Arial"/>
              </w:rPr>
              <w:t>ral public) and government land</w:t>
            </w:r>
            <w:r>
              <w:rPr>
                <w:rFonts w:cs="Arial"/>
              </w:rPr>
              <w:t xml:space="preserve"> </w:t>
            </w:r>
            <w:r w:rsidR="00C778AC">
              <w:rPr>
                <w:rFonts w:cs="Arial"/>
              </w:rPr>
              <w:t>(</w:t>
            </w:r>
            <w:r w:rsidR="006473C7">
              <w:rPr>
                <w:rFonts w:cs="Arial"/>
              </w:rPr>
              <w:t xml:space="preserve">which is land </w:t>
            </w:r>
            <w:r>
              <w:rPr>
                <w:rFonts w:cs="Arial"/>
              </w:rPr>
              <w:t>used by the Government</w:t>
            </w:r>
            <w:r w:rsidR="00C778AC">
              <w:rPr>
                <w:rFonts w:cs="Arial"/>
              </w:rPr>
              <w:t xml:space="preserve"> of Nepal).</w:t>
            </w:r>
            <w:r>
              <w:rPr>
                <w:rFonts w:cs="Arial"/>
              </w:rPr>
              <w:t xml:space="preserve"> </w:t>
            </w:r>
          </w:p>
        </w:tc>
        <w:tc>
          <w:tcPr>
            <w:tcW w:w="1667" w:type="dxa"/>
            <w:shd w:val="clear" w:color="auto" w:fill="auto"/>
          </w:tcPr>
          <w:p w14:paraId="5A3027CC" w14:textId="77777777" w:rsidR="00E008D4" w:rsidRPr="007A1DA0" w:rsidRDefault="006473C7" w:rsidP="00704738">
            <w:pPr>
              <w:spacing w:line="276" w:lineRule="auto"/>
              <w:rPr>
                <w:rFonts w:cs="Arial"/>
              </w:rPr>
            </w:pPr>
            <w:r>
              <w:rPr>
                <w:rFonts w:cs="Arial"/>
              </w:rPr>
              <w:t>Registration certificate</w:t>
            </w:r>
          </w:p>
        </w:tc>
      </w:tr>
      <w:tr w:rsidR="00E008D4" w:rsidRPr="00C55E40" w14:paraId="3C6C55EE" w14:textId="77777777" w:rsidTr="00D300EC">
        <w:tc>
          <w:tcPr>
            <w:tcW w:w="1328" w:type="dxa"/>
            <w:shd w:val="clear" w:color="auto" w:fill="auto"/>
          </w:tcPr>
          <w:p w14:paraId="6258AF9A" w14:textId="1F6E1E93" w:rsidR="00E008D4" w:rsidRDefault="00A412D8" w:rsidP="003565E4">
            <w:hyperlink w:anchor="Guthi_Land" w:history="1">
              <w:r w:rsidR="00ED6FA2" w:rsidRPr="001178CE">
                <w:rPr>
                  <w:rStyle w:val="Hyperlink"/>
                </w:rPr>
                <w:t>Guthi land</w:t>
              </w:r>
            </w:hyperlink>
          </w:p>
          <w:p w14:paraId="7F558FEB" w14:textId="77777777" w:rsidR="005E4649" w:rsidRDefault="005E4649" w:rsidP="003565E4"/>
          <w:p w14:paraId="107F1692" w14:textId="77777777" w:rsidR="005E4649" w:rsidRPr="003565E4" w:rsidRDefault="005E4649" w:rsidP="003565E4"/>
        </w:tc>
        <w:tc>
          <w:tcPr>
            <w:tcW w:w="1372" w:type="dxa"/>
            <w:shd w:val="clear" w:color="auto" w:fill="auto"/>
          </w:tcPr>
          <w:p w14:paraId="76919D9A" w14:textId="77777777" w:rsidR="00E008D4" w:rsidRPr="007A1DA0" w:rsidRDefault="006473C7" w:rsidP="00704738">
            <w:pPr>
              <w:spacing w:line="276" w:lineRule="auto"/>
            </w:pPr>
            <w:r>
              <w:rPr>
                <w:rFonts w:cs="Arial"/>
              </w:rPr>
              <w:t>Yes</w:t>
            </w:r>
          </w:p>
        </w:tc>
        <w:tc>
          <w:tcPr>
            <w:tcW w:w="5097" w:type="dxa"/>
            <w:shd w:val="clear" w:color="auto" w:fill="auto"/>
          </w:tcPr>
          <w:p w14:paraId="4B58107C" w14:textId="77777777" w:rsidR="00E008D4" w:rsidRPr="007A1DA0" w:rsidRDefault="00680F7E">
            <w:pPr>
              <w:spacing w:line="276" w:lineRule="auto"/>
            </w:pPr>
            <w:r>
              <w:t xml:space="preserve">Guthi land is </w:t>
            </w:r>
            <w:r w:rsidR="00C778AC">
              <w:t xml:space="preserve">the </w:t>
            </w:r>
            <w:r>
              <w:t xml:space="preserve">land belonging to religious bodies in Nepal. It includes temples, monasteries, religious schools and hospitals. Only a very small amount of land in Nepal is Guthi land. </w:t>
            </w:r>
          </w:p>
        </w:tc>
        <w:tc>
          <w:tcPr>
            <w:tcW w:w="1667" w:type="dxa"/>
            <w:shd w:val="clear" w:color="auto" w:fill="auto"/>
          </w:tcPr>
          <w:p w14:paraId="0C7D427C" w14:textId="77777777" w:rsidR="00E008D4" w:rsidRPr="007A1DA0" w:rsidRDefault="006473C7" w:rsidP="00704738">
            <w:pPr>
              <w:spacing w:line="276" w:lineRule="auto"/>
            </w:pPr>
            <w:r>
              <w:rPr>
                <w:rFonts w:cs="Arial"/>
              </w:rPr>
              <w:t>Registration certificate</w:t>
            </w:r>
          </w:p>
        </w:tc>
      </w:tr>
    </w:tbl>
    <w:p w14:paraId="70930D04" w14:textId="22E263ED" w:rsidR="005F4174" w:rsidRPr="003565E4" w:rsidRDefault="003565E4" w:rsidP="003565E4">
      <w:pPr>
        <w:rPr>
          <w:b/>
          <w:sz w:val="22"/>
          <w:szCs w:val="22"/>
        </w:rPr>
      </w:pPr>
      <w:bookmarkStart w:id="9" w:name="_Toc512952862"/>
      <w:bookmarkStart w:id="10" w:name="_Toc512953136"/>
      <w:r>
        <w:rPr>
          <w:b/>
          <w:sz w:val="22"/>
          <w:szCs w:val="22"/>
        </w:rPr>
        <w:t>3</w:t>
      </w:r>
      <w:r>
        <w:rPr>
          <w:b/>
          <w:sz w:val="22"/>
          <w:szCs w:val="22"/>
        </w:rPr>
        <w:tab/>
      </w:r>
      <w:hyperlink w:anchor="Security_of_tenure_of_vulnerable_group" w:history="1">
        <w:r w:rsidR="00C607A8" w:rsidRPr="003565E4">
          <w:rPr>
            <w:rStyle w:val="Hyperlink"/>
            <w:b/>
            <w:color w:val="auto"/>
            <w:sz w:val="22"/>
            <w:szCs w:val="22"/>
            <w:u w:val="none"/>
          </w:rPr>
          <w:t>Security of tenure of vulnerable groups</w:t>
        </w:r>
        <w:bookmarkEnd w:id="9"/>
        <w:bookmarkEnd w:id="10"/>
      </w:hyperlink>
    </w:p>
    <w:tbl>
      <w:tblPr>
        <w:tblStyle w:val="TableGrid"/>
        <w:tblW w:w="0" w:type="auto"/>
        <w:tblInd w:w="108" w:type="dxa"/>
        <w:tblLook w:val="04A0" w:firstRow="1" w:lastRow="0" w:firstColumn="1" w:lastColumn="0" w:noHBand="0" w:noVBand="1"/>
      </w:tblPr>
      <w:tblGrid>
        <w:gridCol w:w="1549"/>
        <w:gridCol w:w="7689"/>
      </w:tblGrid>
      <w:tr w:rsidR="007A1DA0" w14:paraId="0B171607" w14:textId="77777777" w:rsidTr="00E763BD">
        <w:tc>
          <w:tcPr>
            <w:tcW w:w="1560" w:type="dxa"/>
            <w:shd w:val="clear" w:color="auto" w:fill="auto"/>
          </w:tcPr>
          <w:p w14:paraId="54673AAD" w14:textId="4FC4ECC9" w:rsidR="00726A23" w:rsidRPr="00D300EC" w:rsidRDefault="00A412D8" w:rsidP="00D300EC">
            <w:pPr>
              <w:spacing w:line="276" w:lineRule="auto"/>
              <w:rPr>
                <w:rStyle w:val="Hyperlink"/>
              </w:rPr>
            </w:pPr>
            <w:hyperlink w:anchor="Women" w:history="1">
              <w:r w:rsidR="00726A23" w:rsidRPr="001178CE">
                <w:rPr>
                  <w:rStyle w:val="Hyperlink"/>
                </w:rPr>
                <w:t>Women</w:t>
              </w:r>
            </w:hyperlink>
          </w:p>
        </w:tc>
        <w:tc>
          <w:tcPr>
            <w:tcW w:w="7904" w:type="dxa"/>
            <w:shd w:val="clear" w:color="auto" w:fill="auto"/>
          </w:tcPr>
          <w:p w14:paraId="3EB6EFB7" w14:textId="4CB4599E" w:rsidR="005E4649" w:rsidRPr="007A1DA0" w:rsidRDefault="00680F7E" w:rsidP="00704738">
            <w:pPr>
              <w:spacing w:line="276" w:lineRule="auto"/>
            </w:pPr>
            <w:r>
              <w:t xml:space="preserve">Women and men have equal </w:t>
            </w:r>
            <w:r w:rsidR="00DC0E74">
              <w:t xml:space="preserve">legal </w:t>
            </w:r>
            <w:r>
              <w:t xml:space="preserve">rights to access </w:t>
            </w:r>
            <w:r w:rsidR="00C778AC">
              <w:t xml:space="preserve">and own </w:t>
            </w:r>
            <w:r w:rsidR="00DC0E74">
              <w:t>land</w:t>
            </w:r>
            <w:r>
              <w:t xml:space="preserve">. </w:t>
            </w:r>
            <w:r w:rsidR="000062E1">
              <w:t xml:space="preserve">However, far fewer eligible women than men in Nepal </w:t>
            </w:r>
            <w:r w:rsidR="00DC0E74">
              <w:t>have</w:t>
            </w:r>
            <w:r w:rsidR="000062E1">
              <w:t xml:space="preserve"> a citizenship certificate, which </w:t>
            </w:r>
            <w:r w:rsidR="000E3D79">
              <w:t xml:space="preserve">means women have a limited </w:t>
            </w:r>
            <w:r w:rsidR="000062E1">
              <w:t xml:space="preserve">practical ability to formalise </w:t>
            </w:r>
            <w:r w:rsidR="000E3D79">
              <w:t xml:space="preserve">any </w:t>
            </w:r>
            <w:r w:rsidR="00E60610">
              <w:t xml:space="preserve">property </w:t>
            </w:r>
            <w:r w:rsidR="000062E1">
              <w:t>interests</w:t>
            </w:r>
            <w:r w:rsidR="000E3D79">
              <w:t xml:space="preserve"> they might have</w:t>
            </w:r>
            <w:r w:rsidR="000062E1">
              <w:t>.</w:t>
            </w:r>
          </w:p>
        </w:tc>
      </w:tr>
      <w:tr w:rsidR="00700930" w14:paraId="47F3D684" w14:textId="77777777" w:rsidTr="00E763BD">
        <w:tc>
          <w:tcPr>
            <w:tcW w:w="1560" w:type="dxa"/>
            <w:shd w:val="clear" w:color="auto" w:fill="auto"/>
          </w:tcPr>
          <w:p w14:paraId="0FB4B628" w14:textId="29CCE13D" w:rsidR="00726A23" w:rsidRPr="00D300EC" w:rsidRDefault="00A412D8" w:rsidP="00D300EC">
            <w:pPr>
              <w:spacing w:line="276" w:lineRule="auto"/>
              <w:rPr>
                <w:rStyle w:val="Hyperlink"/>
              </w:rPr>
            </w:pPr>
            <w:hyperlink w:anchor="Minority_groups" w:history="1">
              <w:r w:rsidR="00726A23" w:rsidRPr="001178CE">
                <w:rPr>
                  <w:rStyle w:val="Hyperlink"/>
                </w:rPr>
                <w:t>Minority groups</w:t>
              </w:r>
            </w:hyperlink>
          </w:p>
        </w:tc>
        <w:tc>
          <w:tcPr>
            <w:tcW w:w="7904" w:type="dxa"/>
            <w:shd w:val="clear" w:color="auto" w:fill="auto"/>
          </w:tcPr>
          <w:p w14:paraId="5DB01A75" w14:textId="20542A4E" w:rsidR="005E4649" w:rsidRPr="007A1DA0" w:rsidRDefault="00366B55" w:rsidP="00A52E5C">
            <w:pPr>
              <w:spacing w:line="276" w:lineRule="auto"/>
            </w:pPr>
            <w:r>
              <w:t xml:space="preserve">Members of minority groups who do not have Nepalese citizenship are unable to acquire formal property interests. Informal tenancy arrangements available to minority groups lack the security of formal registered </w:t>
            </w:r>
            <w:r w:rsidR="00427B9B">
              <w:t>land ownership</w:t>
            </w:r>
            <w:r>
              <w:t>.</w:t>
            </w:r>
          </w:p>
        </w:tc>
      </w:tr>
      <w:tr w:rsidR="00726A23" w14:paraId="54CC5656" w14:textId="77777777" w:rsidTr="00FD7306">
        <w:trPr>
          <w:trHeight w:val="1183"/>
        </w:trPr>
        <w:tc>
          <w:tcPr>
            <w:tcW w:w="1560" w:type="dxa"/>
            <w:shd w:val="clear" w:color="auto" w:fill="auto"/>
          </w:tcPr>
          <w:p w14:paraId="707961E3" w14:textId="63B53270" w:rsidR="00726A23" w:rsidRPr="00D300EC" w:rsidRDefault="00A412D8" w:rsidP="00D300EC">
            <w:pPr>
              <w:spacing w:line="276" w:lineRule="auto"/>
              <w:rPr>
                <w:rStyle w:val="Hyperlink"/>
              </w:rPr>
            </w:pPr>
            <w:hyperlink w:anchor="Informal_settle" w:history="1">
              <w:r w:rsidR="00D4266E" w:rsidRPr="001178CE">
                <w:rPr>
                  <w:rStyle w:val="Hyperlink"/>
                </w:rPr>
                <w:t>Informal settlements</w:t>
              </w:r>
            </w:hyperlink>
          </w:p>
        </w:tc>
        <w:tc>
          <w:tcPr>
            <w:tcW w:w="7904" w:type="dxa"/>
            <w:shd w:val="clear" w:color="auto" w:fill="auto"/>
          </w:tcPr>
          <w:p w14:paraId="271B139E" w14:textId="34B973F2" w:rsidR="005E4649" w:rsidRPr="007A1DA0" w:rsidRDefault="00617237" w:rsidP="00704738">
            <w:pPr>
              <w:spacing w:line="276" w:lineRule="auto"/>
            </w:pPr>
            <w:r>
              <w:t xml:space="preserve">Informal settlements </w:t>
            </w:r>
            <w:r w:rsidR="00E96068">
              <w:t xml:space="preserve">exist on riversides, roadsides and in open public spaces in Nepal's cities. Those living in informal settlements </w:t>
            </w:r>
            <w:r w:rsidR="003958A0">
              <w:t xml:space="preserve">generally </w:t>
            </w:r>
            <w:r w:rsidR="00E96068">
              <w:t xml:space="preserve">do not have land title documentation, and </w:t>
            </w:r>
            <w:r w:rsidR="003958A0">
              <w:t xml:space="preserve">so </w:t>
            </w:r>
            <w:r w:rsidR="00E96068">
              <w:t>do not have secure tenure. Two informal settlement federations have been recognised in Nepa</w:t>
            </w:r>
            <w:r w:rsidR="003958A0">
              <w:t>l:</w:t>
            </w:r>
            <w:r w:rsidR="00E96068">
              <w:t xml:space="preserve"> Nepal Basobas Basti Samrakchan Smaj and Nepal </w:t>
            </w:r>
            <w:r w:rsidR="00E96068" w:rsidRPr="00E96068">
              <w:t>Mahila Ekta Smaj</w:t>
            </w:r>
            <w:r w:rsidR="00E96068">
              <w:t>.</w:t>
            </w:r>
          </w:p>
        </w:tc>
      </w:tr>
      <w:tr w:rsidR="00D4266E" w14:paraId="3FB470D0" w14:textId="77777777" w:rsidTr="00E763BD">
        <w:tc>
          <w:tcPr>
            <w:tcW w:w="1560" w:type="dxa"/>
            <w:shd w:val="clear" w:color="auto" w:fill="auto"/>
          </w:tcPr>
          <w:p w14:paraId="3E18F516" w14:textId="7187FCA1" w:rsidR="00D4266E" w:rsidRPr="00D300EC" w:rsidRDefault="00A412D8" w:rsidP="00D300EC">
            <w:pPr>
              <w:spacing w:line="276" w:lineRule="auto"/>
              <w:rPr>
                <w:rStyle w:val="Hyperlink"/>
              </w:rPr>
            </w:pPr>
            <w:hyperlink w:anchor="Landless_people" w:history="1">
              <w:r w:rsidR="00D4266E" w:rsidRPr="001178CE">
                <w:rPr>
                  <w:rStyle w:val="Hyperlink"/>
                </w:rPr>
                <w:t>Landless people</w:t>
              </w:r>
            </w:hyperlink>
          </w:p>
        </w:tc>
        <w:tc>
          <w:tcPr>
            <w:tcW w:w="7904" w:type="dxa"/>
            <w:shd w:val="clear" w:color="auto" w:fill="auto"/>
          </w:tcPr>
          <w:p w14:paraId="1030EB02" w14:textId="613E5856" w:rsidR="005E4649" w:rsidRPr="007A1DA0" w:rsidRDefault="00715887" w:rsidP="005E4649">
            <w:pPr>
              <w:spacing w:line="276" w:lineRule="auto"/>
            </w:pPr>
            <w:r>
              <w:t>The Constitution provides all citizens with a right to housing, and identifies the need to rehabilitate landless</w:t>
            </w:r>
            <w:r w:rsidR="000E3D79">
              <w:t xml:space="preserve"> people</w:t>
            </w:r>
            <w:r>
              <w:t xml:space="preserve"> and squatters by </w:t>
            </w:r>
            <w:r w:rsidR="00E73CBC">
              <w:t xml:space="preserve">offering </w:t>
            </w:r>
            <w:r>
              <w:t xml:space="preserve">housing, housing lots, and cultivable land. </w:t>
            </w:r>
            <w:r w:rsidR="00474B52">
              <w:t xml:space="preserve">Nepal law also recognises the possibility of land ownership based on adverse </w:t>
            </w:r>
            <w:r w:rsidR="00734302">
              <w:t xml:space="preserve">(or </w:t>
            </w:r>
            <w:r w:rsidR="008E0AE1">
              <w:t>'</w:t>
            </w:r>
            <w:r w:rsidR="00734302">
              <w:t>long past</w:t>
            </w:r>
            <w:r w:rsidR="008E0AE1">
              <w:t>'</w:t>
            </w:r>
            <w:r w:rsidR="00734302">
              <w:t>) possession</w:t>
            </w:r>
            <w:r w:rsidR="00474B52">
              <w:t xml:space="preserve">. </w:t>
            </w:r>
            <w:r w:rsidR="00734302" w:rsidRPr="004B7D65">
              <w:t xml:space="preserve">In practice, these </w:t>
            </w:r>
            <w:r w:rsidR="00734302">
              <w:t>laws and policies</w:t>
            </w:r>
            <w:r w:rsidR="00734302" w:rsidRPr="004B7D65">
              <w:t xml:space="preserve"> are not </w:t>
            </w:r>
            <w:r w:rsidR="00734302">
              <w:t xml:space="preserve">enforced, </w:t>
            </w:r>
            <w:r w:rsidR="00734302" w:rsidRPr="004B7D65">
              <w:t>and land rights for landless people and squatters are not recognised.</w:t>
            </w:r>
          </w:p>
        </w:tc>
      </w:tr>
    </w:tbl>
    <w:p w14:paraId="0858A12D" w14:textId="6220370A" w:rsidR="005F4174" w:rsidRPr="00975C5E" w:rsidRDefault="00975C5E" w:rsidP="00E763BD">
      <w:pPr>
        <w:ind w:left="22"/>
        <w:rPr>
          <w:b/>
          <w:sz w:val="22"/>
          <w:szCs w:val="22"/>
        </w:rPr>
      </w:pPr>
      <w:bookmarkStart w:id="11" w:name="_Toc512952863"/>
      <w:bookmarkStart w:id="12" w:name="_Toc512953137"/>
      <w:r>
        <w:rPr>
          <w:b/>
          <w:sz w:val="22"/>
          <w:szCs w:val="22"/>
        </w:rPr>
        <w:t>4</w:t>
      </w:r>
      <w:r>
        <w:rPr>
          <w:b/>
          <w:sz w:val="22"/>
          <w:szCs w:val="22"/>
        </w:rPr>
        <w:tab/>
      </w:r>
      <w:hyperlink w:anchor="Eviction_Expropriation_Relocation" w:history="1">
        <w:r w:rsidR="007456B0" w:rsidRPr="00975C5E">
          <w:rPr>
            <w:rStyle w:val="Hyperlink"/>
            <w:b/>
            <w:color w:val="auto"/>
            <w:sz w:val="22"/>
            <w:szCs w:val="22"/>
            <w:u w:val="none"/>
          </w:rPr>
          <w:t>Eviction, e</w:t>
        </w:r>
        <w:r w:rsidR="00213BB2" w:rsidRPr="00975C5E">
          <w:rPr>
            <w:rStyle w:val="Hyperlink"/>
            <w:b/>
            <w:color w:val="auto"/>
            <w:sz w:val="22"/>
            <w:szCs w:val="22"/>
            <w:u w:val="none"/>
          </w:rPr>
          <w:t xml:space="preserve">xpropriation and </w:t>
        </w:r>
        <w:r w:rsidR="007456B0" w:rsidRPr="00975C5E">
          <w:rPr>
            <w:rStyle w:val="Hyperlink"/>
            <w:b/>
            <w:color w:val="auto"/>
            <w:sz w:val="22"/>
            <w:szCs w:val="22"/>
            <w:u w:val="none"/>
          </w:rPr>
          <w:t>r</w:t>
        </w:r>
        <w:r w:rsidR="00213BB2" w:rsidRPr="00975C5E">
          <w:rPr>
            <w:rStyle w:val="Hyperlink"/>
            <w:b/>
            <w:color w:val="auto"/>
            <w:sz w:val="22"/>
            <w:szCs w:val="22"/>
            <w:u w:val="none"/>
          </w:rPr>
          <w:t>elocation</w:t>
        </w:r>
        <w:bookmarkEnd w:id="11"/>
        <w:bookmarkEnd w:id="12"/>
      </w:hyperlink>
    </w:p>
    <w:tbl>
      <w:tblPr>
        <w:tblStyle w:val="TableGrid"/>
        <w:tblW w:w="0" w:type="auto"/>
        <w:tblInd w:w="108" w:type="dxa"/>
        <w:tblLook w:val="04A0" w:firstRow="1" w:lastRow="0" w:firstColumn="1" w:lastColumn="0" w:noHBand="0" w:noVBand="1"/>
      </w:tblPr>
      <w:tblGrid>
        <w:gridCol w:w="1554"/>
        <w:gridCol w:w="7684"/>
      </w:tblGrid>
      <w:tr w:rsidR="007A1DA0" w:rsidRPr="007A1DA0" w14:paraId="77C21705" w14:textId="77777777" w:rsidTr="00FD7306">
        <w:trPr>
          <w:trHeight w:val="431"/>
        </w:trPr>
        <w:tc>
          <w:tcPr>
            <w:tcW w:w="1560" w:type="dxa"/>
            <w:shd w:val="clear" w:color="auto" w:fill="auto"/>
          </w:tcPr>
          <w:p w14:paraId="4B2BE502" w14:textId="4FF92F2B" w:rsidR="007A1DA0" w:rsidRPr="00D300EC" w:rsidRDefault="00A412D8" w:rsidP="00D300EC">
            <w:pPr>
              <w:spacing w:line="276" w:lineRule="auto"/>
              <w:rPr>
                <w:rStyle w:val="Hyperlink"/>
              </w:rPr>
            </w:pPr>
            <w:hyperlink w:anchor="Eviction" w:history="1">
              <w:r w:rsidR="007A1DA0" w:rsidRPr="001178CE">
                <w:rPr>
                  <w:rStyle w:val="Hyperlink"/>
                </w:rPr>
                <w:t>Eviction</w:t>
              </w:r>
            </w:hyperlink>
          </w:p>
        </w:tc>
        <w:tc>
          <w:tcPr>
            <w:tcW w:w="7904" w:type="dxa"/>
            <w:shd w:val="clear" w:color="auto" w:fill="auto"/>
          </w:tcPr>
          <w:p w14:paraId="6F0D9961" w14:textId="519033B3" w:rsidR="005E4649" w:rsidRPr="007A1DA0" w:rsidRDefault="00F27870" w:rsidP="005E4649">
            <w:pPr>
              <w:spacing w:line="276" w:lineRule="auto"/>
            </w:pPr>
            <w:r>
              <w:t>The Constitution provides that no citizen shall be evicted from their residence</w:t>
            </w:r>
            <w:r w:rsidR="00E73CBC">
              <w:t>. In practice though, people with informal tenure are not protected from eviction.</w:t>
            </w:r>
            <w:r w:rsidR="00DA143C">
              <w:t xml:space="preserve"> </w:t>
            </w:r>
          </w:p>
        </w:tc>
      </w:tr>
      <w:tr w:rsidR="007A1DA0" w:rsidRPr="007A1DA0" w14:paraId="1F4E6088" w14:textId="77777777" w:rsidTr="00E763BD">
        <w:tc>
          <w:tcPr>
            <w:tcW w:w="1560" w:type="dxa"/>
            <w:shd w:val="clear" w:color="auto" w:fill="auto"/>
          </w:tcPr>
          <w:p w14:paraId="6BFA1386" w14:textId="2A91B2F2" w:rsidR="007A1DA0" w:rsidRPr="00D300EC" w:rsidRDefault="00A412D8" w:rsidP="00D300EC">
            <w:pPr>
              <w:spacing w:line="276" w:lineRule="auto"/>
              <w:rPr>
                <w:rStyle w:val="Hyperlink"/>
              </w:rPr>
            </w:pPr>
            <w:hyperlink w:anchor="Expropriation" w:history="1">
              <w:r w:rsidR="007A1DA0" w:rsidRPr="001178CE">
                <w:rPr>
                  <w:rStyle w:val="Hyperlink"/>
                </w:rPr>
                <w:t>Expropriation</w:t>
              </w:r>
            </w:hyperlink>
          </w:p>
        </w:tc>
        <w:tc>
          <w:tcPr>
            <w:tcW w:w="7904" w:type="dxa"/>
            <w:shd w:val="clear" w:color="auto" w:fill="auto"/>
          </w:tcPr>
          <w:p w14:paraId="5268F366" w14:textId="4FF4D114" w:rsidR="005E4649" w:rsidRPr="007A1DA0" w:rsidRDefault="00DA143C" w:rsidP="003D72A3">
            <w:pPr>
              <w:spacing w:line="276" w:lineRule="auto"/>
            </w:pPr>
            <w:r>
              <w:t xml:space="preserve">The Government is constitutionally authorised to acquire </w:t>
            </w:r>
            <w:r w:rsidR="009C52DA">
              <w:t xml:space="preserve">land </w:t>
            </w:r>
            <w:r w:rsidR="008E0AE1">
              <w:t xml:space="preserve">if </w:t>
            </w:r>
            <w:r w:rsidR="009C52DA">
              <w:t xml:space="preserve">in the public interest. Expropriation of this kind must follow </w:t>
            </w:r>
            <w:r w:rsidR="00387BD3">
              <w:t xml:space="preserve">a prescribed procedure, which can take several weeks to complete. </w:t>
            </w:r>
            <w:r w:rsidR="00E73CBC">
              <w:t>The</w:t>
            </w:r>
            <w:r w:rsidR="00387BD3">
              <w:t xml:space="preserve"> procedure allows the existing landowner</w:t>
            </w:r>
            <w:r w:rsidR="00E73CBC">
              <w:t>(s)</w:t>
            </w:r>
            <w:r w:rsidR="00387BD3">
              <w:t xml:space="preserve"> to make a complaint in relation to the proposed expropriation, and for such a complaint to be determined. The Government's right to expropriate land is subject to the requirement to compensate the landowner</w:t>
            </w:r>
            <w:r w:rsidR="00E73CBC">
              <w:t>(s)</w:t>
            </w:r>
            <w:r w:rsidR="00387BD3">
              <w:t xml:space="preserve">. </w:t>
            </w:r>
          </w:p>
        </w:tc>
      </w:tr>
      <w:tr w:rsidR="007A1DA0" w:rsidRPr="007A1DA0" w14:paraId="1A316902" w14:textId="77777777" w:rsidTr="00E763BD">
        <w:tc>
          <w:tcPr>
            <w:tcW w:w="1560" w:type="dxa"/>
            <w:shd w:val="clear" w:color="auto" w:fill="auto"/>
          </w:tcPr>
          <w:p w14:paraId="1CD9F808" w14:textId="6489B26B" w:rsidR="007A1DA0" w:rsidRPr="00D300EC" w:rsidRDefault="00A412D8" w:rsidP="00D300EC">
            <w:pPr>
              <w:spacing w:line="276" w:lineRule="auto"/>
              <w:rPr>
                <w:rStyle w:val="Hyperlink"/>
              </w:rPr>
            </w:pPr>
            <w:hyperlink w:anchor="Relocation" w:history="1">
              <w:r w:rsidR="007A1DA0" w:rsidRPr="001178CE">
                <w:rPr>
                  <w:rStyle w:val="Hyperlink"/>
                </w:rPr>
                <w:t>Relocation</w:t>
              </w:r>
            </w:hyperlink>
          </w:p>
        </w:tc>
        <w:tc>
          <w:tcPr>
            <w:tcW w:w="7904" w:type="dxa"/>
            <w:shd w:val="clear" w:color="auto" w:fill="auto"/>
          </w:tcPr>
          <w:p w14:paraId="45A30631" w14:textId="2EC4C4CC" w:rsidR="005E4649" w:rsidRPr="007A1DA0" w:rsidRDefault="008E0AE1" w:rsidP="00D6687B">
            <w:pPr>
              <w:spacing w:line="276" w:lineRule="auto"/>
            </w:pPr>
            <w:r>
              <w:t xml:space="preserve">There are no generally applicable laws in relation to relocation but the Government has introduced legislation dealing with relocation requirements in the context of specific disasters. </w:t>
            </w:r>
            <w:r w:rsidR="00AB4EBB">
              <w:t xml:space="preserve">The regime governing compensation for landowners </w:t>
            </w:r>
            <w:r w:rsidR="00D040A2">
              <w:t>following</w:t>
            </w:r>
            <w:r w:rsidR="00AB4EBB">
              <w:t xml:space="preserve"> expropriation </w:t>
            </w:r>
            <w:r>
              <w:t xml:space="preserve">also </w:t>
            </w:r>
            <w:r w:rsidR="00AB4EBB">
              <w:t>includes compensation for relocation costs.</w:t>
            </w:r>
          </w:p>
        </w:tc>
      </w:tr>
    </w:tbl>
    <w:p w14:paraId="74963815" w14:textId="77777777" w:rsidR="00E836FA" w:rsidRDefault="00E836FA" w:rsidP="00E763BD">
      <w:pPr>
        <w:ind w:left="22"/>
        <w:rPr>
          <w:sz w:val="22"/>
        </w:rPr>
      </w:pPr>
    </w:p>
    <w:p w14:paraId="41F26CF9" w14:textId="77777777" w:rsidR="00D176F0" w:rsidRDefault="00D176F0" w:rsidP="00E763BD">
      <w:pPr>
        <w:ind w:left="22"/>
        <w:jc w:val="both"/>
        <w:rPr>
          <w:rFonts w:cs="Arial"/>
          <w:b/>
        </w:rPr>
        <w:sectPr w:rsidR="00D176F0" w:rsidSect="00BD4E32">
          <w:headerReference w:type="default" r:id="rId14"/>
          <w:footerReference w:type="default" r:id="rId15"/>
          <w:headerReference w:type="first" r:id="rId16"/>
          <w:footerReference w:type="first" r:id="rId17"/>
          <w:pgSz w:w="11907" w:h="16839"/>
          <w:pgMar w:top="1701" w:right="1134" w:bottom="1134" w:left="1417" w:header="708" w:footer="680" w:gutter="0"/>
          <w:cols w:space="708"/>
          <w:docGrid w:linePitch="360"/>
        </w:sectPr>
      </w:pPr>
    </w:p>
    <w:sdt>
      <w:sdtPr>
        <w:rPr>
          <w:rFonts w:cs="Arial"/>
          <w:lang w:eastAsia="en-US"/>
        </w:rPr>
        <w:id w:val="-1644417265"/>
        <w:docPartObj>
          <w:docPartGallery w:val="Cover Pages"/>
          <w:docPartUnique/>
        </w:docPartObj>
      </w:sdtPr>
      <w:sdtEndPr>
        <w:rPr>
          <w:lang w:eastAsia="en-AU"/>
        </w:rPr>
      </w:sdtEndPr>
      <w:sdtContent>
        <w:tbl>
          <w:tblPr>
            <w:tblW w:w="0" w:type="auto"/>
            <w:jc w:val="right"/>
            <w:tblLayout w:type="fixed"/>
            <w:tblCellMar>
              <w:left w:w="0" w:type="dxa"/>
              <w:right w:w="0" w:type="dxa"/>
            </w:tblCellMar>
            <w:tblLook w:val="0000" w:firstRow="0" w:lastRow="0" w:firstColumn="0" w:lastColumn="0" w:noHBand="0" w:noVBand="0"/>
          </w:tblPr>
          <w:tblGrid>
            <w:gridCol w:w="9072"/>
          </w:tblGrid>
          <w:tr w:rsidR="002D47F2" w:rsidRPr="00535EDE" w14:paraId="432D4874" w14:textId="77777777" w:rsidTr="00E763BD">
            <w:trPr>
              <w:trHeight w:hRule="exact" w:val="3538"/>
              <w:jc w:val="right"/>
            </w:trPr>
            <w:tc>
              <w:tcPr>
                <w:tcW w:w="9072" w:type="dxa"/>
                <w:shd w:val="solid" w:color="FFFFFF" w:fill="FFFFFF"/>
                <w:vAlign w:val="bottom"/>
              </w:tcPr>
              <w:p w14:paraId="0C4B634D" w14:textId="77777777" w:rsidR="002D47F2" w:rsidRPr="00535EDE" w:rsidRDefault="002D47F2" w:rsidP="00E273DA">
                <w:pPr>
                  <w:spacing w:before="120" w:line="312" w:lineRule="auto"/>
                  <w:jc w:val="center"/>
                  <w:rPr>
                    <w:rFonts w:cs="Arial"/>
                    <w:lang w:eastAsia="en-US"/>
                  </w:rPr>
                </w:pPr>
              </w:p>
            </w:tc>
          </w:tr>
          <w:tr w:rsidR="002D47F2" w:rsidRPr="00535EDE" w14:paraId="3DAE524F" w14:textId="77777777" w:rsidTr="00E763BD">
            <w:trPr>
              <w:trHeight w:hRule="exact" w:val="3556"/>
              <w:jc w:val="right"/>
            </w:trPr>
            <w:tc>
              <w:tcPr>
                <w:tcW w:w="9072" w:type="dxa"/>
                <w:vAlign w:val="bottom"/>
              </w:tcPr>
              <w:p w14:paraId="3B416EEB" w14:textId="77777777" w:rsidR="002D47F2" w:rsidRDefault="002D47F2" w:rsidP="00E273DA">
                <w:pPr>
                  <w:pStyle w:val="Title"/>
                  <w:jc w:val="center"/>
                  <w:rPr>
                    <w:b/>
                    <w:bCs/>
                  </w:rPr>
                </w:pPr>
                <w:bookmarkStart w:id="14" w:name="AgreementTitle"/>
              </w:p>
              <w:p w14:paraId="584912F9" w14:textId="77777777" w:rsidR="002D47F2" w:rsidRDefault="002D47F2" w:rsidP="00E273DA">
                <w:pPr>
                  <w:pStyle w:val="Title"/>
                  <w:jc w:val="center"/>
                  <w:rPr>
                    <w:b/>
                    <w:bCs/>
                  </w:rPr>
                </w:pPr>
                <w:r>
                  <w:rPr>
                    <w:b/>
                    <w:bCs/>
                  </w:rPr>
                  <w:t>Disaster Law Housing, Land and</w:t>
                </w:r>
              </w:p>
              <w:p w14:paraId="0669BFFD" w14:textId="77777777" w:rsidR="002D47F2" w:rsidRDefault="002D47F2" w:rsidP="00E273DA">
                <w:pPr>
                  <w:pStyle w:val="Title"/>
                  <w:jc w:val="center"/>
                  <w:rPr>
                    <w:b/>
                    <w:bCs/>
                  </w:rPr>
                </w:pPr>
                <w:r w:rsidRPr="00F92C8D">
                  <w:rPr>
                    <w:b/>
                    <w:bCs/>
                  </w:rPr>
                  <w:t>Property Mapping Project</w:t>
                </w:r>
              </w:p>
              <w:p w14:paraId="21F7051C" w14:textId="77777777" w:rsidR="002D47F2" w:rsidRPr="005D6E30" w:rsidRDefault="002D47F2" w:rsidP="00E273DA">
                <w:pPr>
                  <w:pStyle w:val="Title"/>
                  <w:jc w:val="center"/>
                  <w:rPr>
                    <w:b/>
                    <w:bCs/>
                  </w:rPr>
                </w:pPr>
              </w:p>
              <w:p w14:paraId="1C8BBF7E" w14:textId="77777777" w:rsidR="002D47F2" w:rsidRDefault="005E4649" w:rsidP="00E273DA">
                <w:pPr>
                  <w:pStyle w:val="Title"/>
                  <w:jc w:val="center"/>
                </w:pPr>
                <w:r>
                  <w:t>Nepal</w:t>
                </w:r>
              </w:p>
              <w:bookmarkEnd w:id="14"/>
              <w:p w14:paraId="383E00B8" w14:textId="77777777" w:rsidR="002D47F2" w:rsidRPr="00535EDE" w:rsidRDefault="002D47F2" w:rsidP="00E273DA">
                <w:pPr>
                  <w:pStyle w:val="Title"/>
                  <w:keepNext w:val="0"/>
                  <w:spacing w:before="100" w:after="0" w:line="312" w:lineRule="auto"/>
                  <w:jc w:val="center"/>
                  <w:rPr>
                    <w:sz w:val="20"/>
                    <w:szCs w:val="32"/>
                  </w:rPr>
                </w:pPr>
              </w:p>
            </w:tc>
          </w:tr>
          <w:tr w:rsidR="002D47F2" w:rsidRPr="00535EDE" w14:paraId="6AC47BC3" w14:textId="77777777" w:rsidTr="00E763BD">
            <w:trPr>
              <w:trHeight w:val="1559"/>
              <w:jc w:val="right"/>
            </w:trPr>
            <w:tc>
              <w:tcPr>
                <w:tcW w:w="9072" w:type="dxa"/>
              </w:tcPr>
              <w:p w14:paraId="639874C4" w14:textId="77777777" w:rsidR="002D47F2" w:rsidRPr="00535EDE" w:rsidRDefault="002D47F2" w:rsidP="00E273DA">
                <w:pPr>
                  <w:spacing w:line="312" w:lineRule="auto"/>
                  <w:jc w:val="center"/>
                  <w:rPr>
                    <w:rFonts w:cs="Arial"/>
                    <w:lang w:eastAsia="en-US"/>
                  </w:rPr>
                </w:pPr>
              </w:p>
            </w:tc>
          </w:tr>
          <w:tr w:rsidR="002D47F2" w:rsidRPr="00535EDE" w14:paraId="61AD50AE" w14:textId="77777777" w:rsidTr="00E763BD">
            <w:trPr>
              <w:trHeight w:val="3674"/>
              <w:jc w:val="right"/>
            </w:trPr>
            <w:tc>
              <w:tcPr>
                <w:tcW w:w="9072" w:type="dxa"/>
                <w:vAlign w:val="bottom"/>
              </w:tcPr>
              <w:p w14:paraId="0ECCCBA6" w14:textId="77777777" w:rsidR="002D47F2" w:rsidRPr="00535EDE" w:rsidRDefault="00A412D8" w:rsidP="00E273DA">
                <w:pPr>
                  <w:pStyle w:val="BodyText"/>
                  <w:tabs>
                    <w:tab w:val="right" w:pos="7938"/>
                  </w:tabs>
                  <w:spacing w:before="120"/>
                  <w:ind w:left="709" w:hanging="709"/>
                  <w:rPr>
                    <w:rFonts w:cs="Arial"/>
                    <w:b/>
                    <w:noProof/>
                    <w:sz w:val="12"/>
                  </w:rPr>
                </w:pPr>
              </w:p>
            </w:tc>
          </w:tr>
        </w:tbl>
      </w:sdtContent>
    </w:sdt>
    <w:p w14:paraId="50FD17F3" w14:textId="77777777" w:rsidR="00D176F0" w:rsidRDefault="00D176F0" w:rsidP="00E763BD">
      <w:pPr>
        <w:ind w:left="22"/>
      </w:pPr>
      <w:r>
        <w:br w:type="page"/>
      </w:r>
    </w:p>
    <w:sdt>
      <w:sdtPr>
        <w:rPr>
          <w:b w:val="0"/>
          <w:sz w:val="20"/>
        </w:rPr>
        <w:id w:val="1908348336"/>
        <w:docPartObj>
          <w:docPartGallery w:val="Table of Contents"/>
          <w:docPartUnique/>
        </w:docPartObj>
      </w:sdtPr>
      <w:sdtEndPr>
        <w:rPr>
          <w:noProof/>
        </w:rPr>
      </w:sdtEndPr>
      <w:sdtContent>
        <w:p w14:paraId="188C9EF8" w14:textId="77777777" w:rsidR="008665B8" w:rsidRDefault="008665B8" w:rsidP="00E763BD">
          <w:pPr>
            <w:pStyle w:val="ContentsHeading"/>
            <w:ind w:left="22"/>
            <w:rPr>
              <w:b w:val="0"/>
              <w:sz w:val="20"/>
            </w:rPr>
          </w:pPr>
        </w:p>
        <w:p w14:paraId="65BB53D4" w14:textId="77777777" w:rsidR="002D47F2" w:rsidRPr="00C53540" w:rsidRDefault="002D47F2" w:rsidP="00E763BD">
          <w:pPr>
            <w:pStyle w:val="ContentsHeading"/>
            <w:ind w:left="22"/>
          </w:pPr>
          <w:r w:rsidRPr="00C53540">
            <w:t>Contents</w:t>
          </w:r>
        </w:p>
        <w:p w14:paraId="052C8325" w14:textId="2526D3DD" w:rsidR="00FD7306" w:rsidRDefault="002D47F2">
          <w:pPr>
            <w:pStyle w:val="TOC1"/>
            <w:rPr>
              <w:rFonts w:asciiTheme="minorHAnsi" w:eastAsiaTheme="minorEastAsia" w:hAnsiTheme="minorHAnsi" w:cstheme="minorBidi"/>
              <w:b w:val="0"/>
              <w:sz w:val="22"/>
              <w:szCs w:val="22"/>
              <w:lang w:eastAsia="en-AU"/>
            </w:rPr>
          </w:pPr>
          <w:r>
            <w:rPr>
              <w:b w:val="0"/>
            </w:rPr>
            <w:fldChar w:fldCharType="begin"/>
          </w:r>
          <w:r>
            <w:rPr>
              <w:b w:val="0"/>
            </w:rPr>
            <w:instrText xml:space="preserve"> TOC \o "1-3" \h \z \t "Schedule 1,1" </w:instrText>
          </w:r>
          <w:r>
            <w:rPr>
              <w:b w:val="0"/>
            </w:rPr>
            <w:fldChar w:fldCharType="separate"/>
          </w:r>
          <w:hyperlink w:anchor="_Toc8914054" w:history="1">
            <w:r w:rsidR="00FD7306" w:rsidRPr="008A1619">
              <w:rPr>
                <w:rStyle w:val="Hyperlink"/>
              </w:rPr>
              <w:t>1</w:t>
            </w:r>
            <w:r w:rsidR="00FD7306">
              <w:rPr>
                <w:rFonts w:asciiTheme="minorHAnsi" w:eastAsiaTheme="minorEastAsia" w:hAnsiTheme="minorHAnsi" w:cstheme="minorBidi"/>
                <w:b w:val="0"/>
                <w:sz w:val="22"/>
                <w:szCs w:val="22"/>
                <w:lang w:eastAsia="en-AU"/>
              </w:rPr>
              <w:tab/>
            </w:r>
            <w:r w:rsidR="00FD7306" w:rsidRPr="008A1619">
              <w:rPr>
                <w:rStyle w:val="Hyperlink"/>
              </w:rPr>
              <w:t>Introduction</w:t>
            </w:r>
            <w:r w:rsidR="00FD7306">
              <w:rPr>
                <w:webHidden/>
              </w:rPr>
              <w:tab/>
            </w:r>
            <w:r w:rsidR="00FD7306">
              <w:rPr>
                <w:webHidden/>
              </w:rPr>
              <w:fldChar w:fldCharType="begin"/>
            </w:r>
            <w:r w:rsidR="00FD7306">
              <w:rPr>
                <w:webHidden/>
              </w:rPr>
              <w:instrText xml:space="preserve"> PAGEREF _Toc8914054 \h </w:instrText>
            </w:r>
            <w:r w:rsidR="00FD7306">
              <w:rPr>
                <w:webHidden/>
              </w:rPr>
            </w:r>
            <w:r w:rsidR="00FD7306">
              <w:rPr>
                <w:webHidden/>
              </w:rPr>
              <w:fldChar w:fldCharType="separate"/>
            </w:r>
            <w:r w:rsidR="00F7285C">
              <w:rPr>
                <w:webHidden/>
              </w:rPr>
              <w:t>3</w:t>
            </w:r>
            <w:r w:rsidR="00FD7306">
              <w:rPr>
                <w:webHidden/>
              </w:rPr>
              <w:fldChar w:fldCharType="end"/>
            </w:r>
          </w:hyperlink>
        </w:p>
        <w:p w14:paraId="17AFD59F" w14:textId="5054EC85" w:rsidR="00FD7306" w:rsidRDefault="00A412D8">
          <w:pPr>
            <w:pStyle w:val="TOC2"/>
            <w:tabs>
              <w:tab w:val="left" w:pos="1418"/>
            </w:tabs>
            <w:rPr>
              <w:rFonts w:asciiTheme="minorHAnsi" w:eastAsiaTheme="minorEastAsia" w:hAnsiTheme="minorHAnsi" w:cstheme="minorBidi"/>
              <w:sz w:val="22"/>
              <w:szCs w:val="22"/>
              <w:lang w:eastAsia="en-AU"/>
            </w:rPr>
          </w:pPr>
          <w:hyperlink w:anchor="_Toc8914055" w:history="1">
            <w:r w:rsidR="00FD7306" w:rsidRPr="008A1619">
              <w:rPr>
                <w:rStyle w:val="Hyperlink"/>
              </w:rPr>
              <w:t>1.1</w:t>
            </w:r>
            <w:r w:rsidR="00FD7306">
              <w:rPr>
                <w:rFonts w:asciiTheme="minorHAnsi" w:eastAsiaTheme="minorEastAsia" w:hAnsiTheme="minorHAnsi" w:cstheme="minorBidi"/>
                <w:sz w:val="22"/>
                <w:szCs w:val="22"/>
                <w:lang w:eastAsia="en-AU"/>
              </w:rPr>
              <w:tab/>
            </w:r>
            <w:r w:rsidR="00FD7306" w:rsidRPr="008A1619">
              <w:rPr>
                <w:rStyle w:val="Hyperlink"/>
              </w:rPr>
              <w:t>Overview</w:t>
            </w:r>
            <w:r w:rsidR="00FD7306">
              <w:rPr>
                <w:webHidden/>
              </w:rPr>
              <w:tab/>
            </w:r>
            <w:r w:rsidR="00FD7306">
              <w:rPr>
                <w:webHidden/>
              </w:rPr>
              <w:fldChar w:fldCharType="begin"/>
            </w:r>
            <w:r w:rsidR="00FD7306">
              <w:rPr>
                <w:webHidden/>
              </w:rPr>
              <w:instrText xml:space="preserve"> PAGEREF _Toc8914055 \h </w:instrText>
            </w:r>
            <w:r w:rsidR="00FD7306">
              <w:rPr>
                <w:webHidden/>
              </w:rPr>
            </w:r>
            <w:r w:rsidR="00FD7306">
              <w:rPr>
                <w:webHidden/>
              </w:rPr>
              <w:fldChar w:fldCharType="separate"/>
            </w:r>
            <w:r w:rsidR="00F7285C">
              <w:rPr>
                <w:webHidden/>
              </w:rPr>
              <w:t>3</w:t>
            </w:r>
            <w:r w:rsidR="00FD7306">
              <w:rPr>
                <w:webHidden/>
              </w:rPr>
              <w:fldChar w:fldCharType="end"/>
            </w:r>
          </w:hyperlink>
        </w:p>
        <w:p w14:paraId="4FA2EA8F" w14:textId="2EED892D" w:rsidR="00FD7306" w:rsidRDefault="00A412D8">
          <w:pPr>
            <w:pStyle w:val="TOC2"/>
            <w:tabs>
              <w:tab w:val="left" w:pos="1418"/>
            </w:tabs>
            <w:rPr>
              <w:rFonts w:asciiTheme="minorHAnsi" w:eastAsiaTheme="minorEastAsia" w:hAnsiTheme="minorHAnsi" w:cstheme="minorBidi"/>
              <w:sz w:val="22"/>
              <w:szCs w:val="22"/>
              <w:lang w:eastAsia="en-AU"/>
            </w:rPr>
          </w:pPr>
          <w:hyperlink w:anchor="_Toc8914056" w:history="1">
            <w:r w:rsidR="00FD7306" w:rsidRPr="008A1619">
              <w:rPr>
                <w:rStyle w:val="Hyperlink"/>
              </w:rPr>
              <w:t>1.2</w:t>
            </w:r>
            <w:r w:rsidR="00FD7306">
              <w:rPr>
                <w:rFonts w:asciiTheme="minorHAnsi" w:eastAsiaTheme="minorEastAsia" w:hAnsiTheme="minorHAnsi" w:cstheme="minorBidi"/>
                <w:sz w:val="22"/>
                <w:szCs w:val="22"/>
                <w:lang w:eastAsia="en-AU"/>
              </w:rPr>
              <w:tab/>
            </w:r>
            <w:r w:rsidR="00FD7306" w:rsidRPr="008A1619">
              <w:rPr>
                <w:rStyle w:val="Hyperlink"/>
              </w:rPr>
              <w:t>Background information on Nepal</w:t>
            </w:r>
            <w:r w:rsidR="00FD7306">
              <w:rPr>
                <w:webHidden/>
              </w:rPr>
              <w:tab/>
            </w:r>
            <w:r w:rsidR="00FD7306">
              <w:rPr>
                <w:webHidden/>
              </w:rPr>
              <w:fldChar w:fldCharType="begin"/>
            </w:r>
            <w:r w:rsidR="00FD7306">
              <w:rPr>
                <w:webHidden/>
              </w:rPr>
              <w:instrText xml:space="preserve"> PAGEREF _Toc8914056 \h </w:instrText>
            </w:r>
            <w:r w:rsidR="00FD7306">
              <w:rPr>
                <w:webHidden/>
              </w:rPr>
            </w:r>
            <w:r w:rsidR="00FD7306">
              <w:rPr>
                <w:webHidden/>
              </w:rPr>
              <w:fldChar w:fldCharType="separate"/>
            </w:r>
            <w:r w:rsidR="00F7285C">
              <w:rPr>
                <w:webHidden/>
              </w:rPr>
              <w:t>3</w:t>
            </w:r>
            <w:r w:rsidR="00FD7306">
              <w:rPr>
                <w:webHidden/>
              </w:rPr>
              <w:fldChar w:fldCharType="end"/>
            </w:r>
          </w:hyperlink>
        </w:p>
        <w:p w14:paraId="380D59D3" w14:textId="44BE8AC2" w:rsidR="00FD7306" w:rsidRDefault="00A412D8">
          <w:pPr>
            <w:pStyle w:val="TOC1"/>
            <w:rPr>
              <w:rFonts w:asciiTheme="minorHAnsi" w:eastAsiaTheme="minorEastAsia" w:hAnsiTheme="minorHAnsi" w:cstheme="minorBidi"/>
              <w:b w:val="0"/>
              <w:sz w:val="22"/>
              <w:szCs w:val="22"/>
              <w:lang w:eastAsia="en-AU"/>
            </w:rPr>
          </w:pPr>
          <w:hyperlink w:anchor="_Toc8914057" w:history="1">
            <w:r w:rsidR="00FD7306" w:rsidRPr="008A1619">
              <w:rPr>
                <w:rStyle w:val="Hyperlink"/>
              </w:rPr>
              <w:t>2</w:t>
            </w:r>
            <w:r w:rsidR="00FD7306">
              <w:rPr>
                <w:rFonts w:asciiTheme="minorHAnsi" w:eastAsiaTheme="minorEastAsia" w:hAnsiTheme="minorHAnsi" w:cstheme="minorBidi"/>
                <w:b w:val="0"/>
                <w:sz w:val="22"/>
                <w:szCs w:val="22"/>
                <w:lang w:eastAsia="en-AU"/>
              </w:rPr>
              <w:tab/>
            </w:r>
            <w:r w:rsidR="00FD7306" w:rsidRPr="008A1619">
              <w:rPr>
                <w:rStyle w:val="Hyperlink"/>
              </w:rPr>
              <w:t>Common types of tenure</w:t>
            </w:r>
            <w:r w:rsidR="00FD7306">
              <w:rPr>
                <w:webHidden/>
              </w:rPr>
              <w:tab/>
            </w:r>
            <w:r w:rsidR="00FD7306">
              <w:rPr>
                <w:webHidden/>
              </w:rPr>
              <w:fldChar w:fldCharType="begin"/>
            </w:r>
            <w:r w:rsidR="00FD7306">
              <w:rPr>
                <w:webHidden/>
              </w:rPr>
              <w:instrText xml:space="preserve"> PAGEREF _Toc8914057 \h </w:instrText>
            </w:r>
            <w:r w:rsidR="00FD7306">
              <w:rPr>
                <w:webHidden/>
              </w:rPr>
            </w:r>
            <w:r w:rsidR="00FD7306">
              <w:rPr>
                <w:webHidden/>
              </w:rPr>
              <w:fldChar w:fldCharType="separate"/>
            </w:r>
            <w:r w:rsidR="00F7285C">
              <w:rPr>
                <w:webHidden/>
              </w:rPr>
              <w:t>5</w:t>
            </w:r>
            <w:r w:rsidR="00FD7306">
              <w:rPr>
                <w:webHidden/>
              </w:rPr>
              <w:fldChar w:fldCharType="end"/>
            </w:r>
          </w:hyperlink>
        </w:p>
        <w:p w14:paraId="733BC060" w14:textId="506A4D7B" w:rsidR="00FD7306" w:rsidRDefault="00A412D8">
          <w:pPr>
            <w:pStyle w:val="TOC2"/>
            <w:tabs>
              <w:tab w:val="left" w:pos="1418"/>
            </w:tabs>
            <w:rPr>
              <w:rFonts w:asciiTheme="minorHAnsi" w:eastAsiaTheme="minorEastAsia" w:hAnsiTheme="minorHAnsi" w:cstheme="minorBidi"/>
              <w:sz w:val="22"/>
              <w:szCs w:val="22"/>
              <w:lang w:eastAsia="en-AU"/>
            </w:rPr>
          </w:pPr>
          <w:hyperlink w:anchor="_Toc8914058" w:history="1">
            <w:r w:rsidR="00FD7306" w:rsidRPr="008A1619">
              <w:rPr>
                <w:rStyle w:val="Hyperlink"/>
              </w:rPr>
              <w:t>2.1</w:t>
            </w:r>
            <w:r w:rsidR="00FD7306">
              <w:rPr>
                <w:rFonts w:asciiTheme="minorHAnsi" w:eastAsiaTheme="minorEastAsia" w:hAnsiTheme="minorHAnsi" w:cstheme="minorBidi"/>
                <w:sz w:val="22"/>
                <w:szCs w:val="22"/>
                <w:lang w:eastAsia="en-AU"/>
              </w:rPr>
              <w:tab/>
            </w:r>
            <w:r w:rsidR="00FD7306" w:rsidRPr="008A1619">
              <w:rPr>
                <w:rStyle w:val="Hyperlink"/>
              </w:rPr>
              <w:t>Tenure typologies</w:t>
            </w:r>
            <w:r w:rsidR="00FD7306">
              <w:rPr>
                <w:webHidden/>
              </w:rPr>
              <w:tab/>
            </w:r>
            <w:r w:rsidR="00FD7306">
              <w:rPr>
                <w:webHidden/>
              </w:rPr>
              <w:fldChar w:fldCharType="begin"/>
            </w:r>
            <w:r w:rsidR="00FD7306">
              <w:rPr>
                <w:webHidden/>
              </w:rPr>
              <w:instrText xml:space="preserve"> PAGEREF _Toc8914058 \h </w:instrText>
            </w:r>
            <w:r w:rsidR="00FD7306">
              <w:rPr>
                <w:webHidden/>
              </w:rPr>
            </w:r>
            <w:r w:rsidR="00FD7306">
              <w:rPr>
                <w:webHidden/>
              </w:rPr>
              <w:fldChar w:fldCharType="separate"/>
            </w:r>
            <w:r w:rsidR="00F7285C">
              <w:rPr>
                <w:webHidden/>
              </w:rPr>
              <w:t>5</w:t>
            </w:r>
            <w:r w:rsidR="00FD7306">
              <w:rPr>
                <w:webHidden/>
              </w:rPr>
              <w:fldChar w:fldCharType="end"/>
            </w:r>
          </w:hyperlink>
        </w:p>
        <w:p w14:paraId="56502314" w14:textId="2DB9899E" w:rsidR="00FD7306" w:rsidRDefault="00A412D8">
          <w:pPr>
            <w:pStyle w:val="TOC2"/>
            <w:tabs>
              <w:tab w:val="left" w:pos="1418"/>
            </w:tabs>
            <w:rPr>
              <w:rFonts w:asciiTheme="minorHAnsi" w:eastAsiaTheme="minorEastAsia" w:hAnsiTheme="minorHAnsi" w:cstheme="minorBidi"/>
              <w:sz w:val="22"/>
              <w:szCs w:val="22"/>
              <w:lang w:eastAsia="en-AU"/>
            </w:rPr>
          </w:pPr>
          <w:hyperlink w:anchor="_Toc8914059" w:history="1">
            <w:r w:rsidR="00FD7306" w:rsidRPr="008A1619">
              <w:rPr>
                <w:rStyle w:val="Hyperlink"/>
              </w:rPr>
              <w:t>2.2</w:t>
            </w:r>
            <w:r w:rsidR="00FD7306">
              <w:rPr>
                <w:rFonts w:asciiTheme="minorHAnsi" w:eastAsiaTheme="minorEastAsia" w:hAnsiTheme="minorHAnsi" w:cstheme="minorBidi"/>
                <w:sz w:val="22"/>
                <w:szCs w:val="22"/>
                <w:lang w:eastAsia="en-AU"/>
              </w:rPr>
              <w:tab/>
            </w:r>
            <w:r w:rsidR="00FD7306" w:rsidRPr="008A1619">
              <w:rPr>
                <w:rStyle w:val="Hyperlink"/>
              </w:rPr>
              <w:t>Documenting tenure</w:t>
            </w:r>
            <w:r w:rsidR="00FD7306">
              <w:rPr>
                <w:webHidden/>
              </w:rPr>
              <w:tab/>
            </w:r>
            <w:r w:rsidR="00FD7306">
              <w:rPr>
                <w:webHidden/>
              </w:rPr>
              <w:fldChar w:fldCharType="begin"/>
            </w:r>
            <w:r w:rsidR="00FD7306">
              <w:rPr>
                <w:webHidden/>
              </w:rPr>
              <w:instrText xml:space="preserve"> PAGEREF _Toc8914059 \h </w:instrText>
            </w:r>
            <w:r w:rsidR="00FD7306">
              <w:rPr>
                <w:webHidden/>
              </w:rPr>
            </w:r>
            <w:r w:rsidR="00FD7306">
              <w:rPr>
                <w:webHidden/>
              </w:rPr>
              <w:fldChar w:fldCharType="separate"/>
            </w:r>
            <w:r w:rsidR="00F7285C">
              <w:rPr>
                <w:webHidden/>
              </w:rPr>
              <w:t>11</w:t>
            </w:r>
            <w:r w:rsidR="00FD7306">
              <w:rPr>
                <w:webHidden/>
              </w:rPr>
              <w:fldChar w:fldCharType="end"/>
            </w:r>
          </w:hyperlink>
        </w:p>
        <w:p w14:paraId="5B5E8803" w14:textId="78FA8B91" w:rsidR="00FD7306" w:rsidRDefault="00A412D8">
          <w:pPr>
            <w:pStyle w:val="TOC2"/>
            <w:tabs>
              <w:tab w:val="left" w:pos="1418"/>
            </w:tabs>
            <w:rPr>
              <w:rFonts w:asciiTheme="minorHAnsi" w:eastAsiaTheme="minorEastAsia" w:hAnsiTheme="minorHAnsi" w:cstheme="minorBidi"/>
              <w:sz w:val="22"/>
              <w:szCs w:val="22"/>
              <w:lang w:eastAsia="en-AU"/>
            </w:rPr>
          </w:pPr>
          <w:hyperlink w:anchor="_Toc8914060" w:history="1">
            <w:r w:rsidR="00FD7306" w:rsidRPr="008A1619">
              <w:rPr>
                <w:rStyle w:val="Hyperlink"/>
              </w:rPr>
              <w:t>2.3</w:t>
            </w:r>
            <w:r w:rsidR="00FD7306">
              <w:rPr>
                <w:rFonts w:asciiTheme="minorHAnsi" w:eastAsiaTheme="minorEastAsia" w:hAnsiTheme="minorHAnsi" w:cstheme="minorBidi"/>
                <w:sz w:val="22"/>
                <w:szCs w:val="22"/>
                <w:lang w:eastAsia="en-AU"/>
              </w:rPr>
              <w:tab/>
            </w:r>
            <w:r w:rsidR="00FD7306" w:rsidRPr="008A1619">
              <w:rPr>
                <w:rStyle w:val="Hyperlink"/>
              </w:rPr>
              <w:t>Customary ownership</w:t>
            </w:r>
            <w:r w:rsidR="00FD7306">
              <w:rPr>
                <w:webHidden/>
              </w:rPr>
              <w:tab/>
            </w:r>
            <w:r w:rsidR="00FD7306">
              <w:rPr>
                <w:webHidden/>
              </w:rPr>
              <w:fldChar w:fldCharType="begin"/>
            </w:r>
            <w:r w:rsidR="00FD7306">
              <w:rPr>
                <w:webHidden/>
              </w:rPr>
              <w:instrText xml:space="preserve"> PAGEREF _Toc8914060 \h </w:instrText>
            </w:r>
            <w:r w:rsidR="00FD7306">
              <w:rPr>
                <w:webHidden/>
              </w:rPr>
            </w:r>
            <w:r w:rsidR="00FD7306">
              <w:rPr>
                <w:webHidden/>
              </w:rPr>
              <w:fldChar w:fldCharType="separate"/>
            </w:r>
            <w:r w:rsidR="00F7285C">
              <w:rPr>
                <w:webHidden/>
              </w:rPr>
              <w:t>12</w:t>
            </w:r>
            <w:r w:rsidR="00FD7306">
              <w:rPr>
                <w:webHidden/>
              </w:rPr>
              <w:fldChar w:fldCharType="end"/>
            </w:r>
          </w:hyperlink>
        </w:p>
        <w:p w14:paraId="5494BB72" w14:textId="45180897" w:rsidR="00FD7306" w:rsidRDefault="00A412D8">
          <w:pPr>
            <w:pStyle w:val="TOC2"/>
            <w:tabs>
              <w:tab w:val="left" w:pos="1418"/>
            </w:tabs>
            <w:rPr>
              <w:rFonts w:asciiTheme="minorHAnsi" w:eastAsiaTheme="minorEastAsia" w:hAnsiTheme="minorHAnsi" w:cstheme="minorBidi"/>
              <w:sz w:val="22"/>
              <w:szCs w:val="22"/>
              <w:lang w:eastAsia="en-AU"/>
            </w:rPr>
          </w:pPr>
          <w:hyperlink w:anchor="_Toc8914061" w:history="1">
            <w:r w:rsidR="00FD7306" w:rsidRPr="008A1619">
              <w:rPr>
                <w:rStyle w:val="Hyperlink"/>
              </w:rPr>
              <w:t>2.4</w:t>
            </w:r>
            <w:r w:rsidR="00FD7306">
              <w:rPr>
                <w:rFonts w:asciiTheme="minorHAnsi" w:eastAsiaTheme="minorEastAsia" w:hAnsiTheme="minorHAnsi" w:cstheme="minorBidi"/>
                <w:sz w:val="22"/>
                <w:szCs w:val="22"/>
                <w:lang w:eastAsia="en-AU"/>
              </w:rPr>
              <w:tab/>
            </w:r>
            <w:r w:rsidR="00FD7306" w:rsidRPr="008A1619">
              <w:rPr>
                <w:rStyle w:val="Hyperlink"/>
              </w:rPr>
              <w:t>Informal settlements</w:t>
            </w:r>
            <w:r w:rsidR="00FD7306">
              <w:rPr>
                <w:webHidden/>
              </w:rPr>
              <w:tab/>
            </w:r>
            <w:r w:rsidR="00FD7306">
              <w:rPr>
                <w:webHidden/>
              </w:rPr>
              <w:fldChar w:fldCharType="begin"/>
            </w:r>
            <w:r w:rsidR="00FD7306">
              <w:rPr>
                <w:webHidden/>
              </w:rPr>
              <w:instrText xml:space="preserve"> PAGEREF _Toc8914061 \h </w:instrText>
            </w:r>
            <w:r w:rsidR="00FD7306">
              <w:rPr>
                <w:webHidden/>
              </w:rPr>
            </w:r>
            <w:r w:rsidR="00FD7306">
              <w:rPr>
                <w:webHidden/>
              </w:rPr>
              <w:fldChar w:fldCharType="separate"/>
            </w:r>
            <w:r w:rsidR="00F7285C">
              <w:rPr>
                <w:webHidden/>
              </w:rPr>
              <w:t>12</w:t>
            </w:r>
            <w:r w:rsidR="00FD7306">
              <w:rPr>
                <w:webHidden/>
              </w:rPr>
              <w:fldChar w:fldCharType="end"/>
            </w:r>
          </w:hyperlink>
        </w:p>
        <w:p w14:paraId="68E7F4E1" w14:textId="327126E1" w:rsidR="00FD7306" w:rsidRDefault="00A412D8">
          <w:pPr>
            <w:pStyle w:val="TOC1"/>
            <w:rPr>
              <w:rFonts w:asciiTheme="minorHAnsi" w:eastAsiaTheme="minorEastAsia" w:hAnsiTheme="minorHAnsi" w:cstheme="minorBidi"/>
              <w:b w:val="0"/>
              <w:sz w:val="22"/>
              <w:szCs w:val="22"/>
              <w:lang w:eastAsia="en-AU"/>
            </w:rPr>
          </w:pPr>
          <w:hyperlink w:anchor="_Toc8914062" w:history="1">
            <w:r w:rsidR="00FD7306" w:rsidRPr="008A1619">
              <w:rPr>
                <w:rStyle w:val="Hyperlink"/>
                <w:rFonts w:eastAsiaTheme="minorHAnsi"/>
              </w:rPr>
              <w:t>3</w:t>
            </w:r>
            <w:r w:rsidR="00FD7306">
              <w:rPr>
                <w:rFonts w:asciiTheme="minorHAnsi" w:eastAsiaTheme="minorEastAsia" w:hAnsiTheme="minorHAnsi" w:cstheme="minorBidi"/>
                <w:b w:val="0"/>
                <w:sz w:val="22"/>
                <w:szCs w:val="22"/>
                <w:lang w:eastAsia="en-AU"/>
              </w:rPr>
              <w:tab/>
            </w:r>
            <w:r w:rsidR="00FD7306" w:rsidRPr="008A1619">
              <w:rPr>
                <w:rStyle w:val="Hyperlink"/>
                <w:rFonts w:eastAsiaTheme="minorHAnsi"/>
              </w:rPr>
              <w:t>Security of tenure of vulnerable groups</w:t>
            </w:r>
            <w:r w:rsidR="00FD7306">
              <w:rPr>
                <w:webHidden/>
              </w:rPr>
              <w:tab/>
            </w:r>
            <w:r w:rsidR="00FD7306">
              <w:rPr>
                <w:webHidden/>
              </w:rPr>
              <w:fldChar w:fldCharType="begin"/>
            </w:r>
            <w:r w:rsidR="00FD7306">
              <w:rPr>
                <w:webHidden/>
              </w:rPr>
              <w:instrText xml:space="preserve"> PAGEREF _Toc8914062 \h </w:instrText>
            </w:r>
            <w:r w:rsidR="00FD7306">
              <w:rPr>
                <w:webHidden/>
              </w:rPr>
            </w:r>
            <w:r w:rsidR="00FD7306">
              <w:rPr>
                <w:webHidden/>
              </w:rPr>
              <w:fldChar w:fldCharType="separate"/>
            </w:r>
            <w:r w:rsidR="00F7285C">
              <w:rPr>
                <w:webHidden/>
              </w:rPr>
              <w:t>13</w:t>
            </w:r>
            <w:r w:rsidR="00FD7306">
              <w:rPr>
                <w:webHidden/>
              </w:rPr>
              <w:fldChar w:fldCharType="end"/>
            </w:r>
          </w:hyperlink>
        </w:p>
        <w:p w14:paraId="25AA4E3B" w14:textId="5F848473" w:rsidR="00FD7306" w:rsidRDefault="00A412D8">
          <w:pPr>
            <w:pStyle w:val="TOC2"/>
            <w:tabs>
              <w:tab w:val="left" w:pos="1418"/>
            </w:tabs>
            <w:rPr>
              <w:rFonts w:asciiTheme="minorHAnsi" w:eastAsiaTheme="minorEastAsia" w:hAnsiTheme="minorHAnsi" w:cstheme="minorBidi"/>
              <w:sz w:val="22"/>
              <w:szCs w:val="22"/>
              <w:lang w:eastAsia="en-AU"/>
            </w:rPr>
          </w:pPr>
          <w:hyperlink w:anchor="_Toc8914063" w:history="1">
            <w:r w:rsidR="00FD7306" w:rsidRPr="008A1619">
              <w:rPr>
                <w:rStyle w:val="Hyperlink"/>
                <w:rFonts w:eastAsiaTheme="minorHAnsi"/>
                <w:iCs/>
                <w:lang w:val="en-GB"/>
              </w:rPr>
              <w:t>3.1</w:t>
            </w:r>
            <w:r w:rsidR="00FD7306">
              <w:rPr>
                <w:rFonts w:asciiTheme="minorHAnsi" w:eastAsiaTheme="minorEastAsia" w:hAnsiTheme="minorHAnsi" w:cstheme="minorBidi"/>
                <w:sz w:val="22"/>
                <w:szCs w:val="22"/>
                <w:lang w:eastAsia="en-AU"/>
              </w:rPr>
              <w:tab/>
            </w:r>
            <w:r w:rsidR="00FD7306" w:rsidRPr="008A1619">
              <w:rPr>
                <w:rStyle w:val="Hyperlink"/>
                <w:rFonts w:eastAsiaTheme="minorHAnsi"/>
                <w:iCs/>
                <w:lang w:val="en-GB"/>
              </w:rPr>
              <w:t>Women</w:t>
            </w:r>
            <w:r w:rsidR="00FD7306">
              <w:rPr>
                <w:webHidden/>
              </w:rPr>
              <w:tab/>
            </w:r>
            <w:r w:rsidR="00FD7306">
              <w:rPr>
                <w:webHidden/>
              </w:rPr>
              <w:fldChar w:fldCharType="begin"/>
            </w:r>
            <w:r w:rsidR="00FD7306">
              <w:rPr>
                <w:webHidden/>
              </w:rPr>
              <w:instrText xml:space="preserve"> PAGEREF _Toc8914063 \h </w:instrText>
            </w:r>
            <w:r w:rsidR="00FD7306">
              <w:rPr>
                <w:webHidden/>
              </w:rPr>
            </w:r>
            <w:r w:rsidR="00FD7306">
              <w:rPr>
                <w:webHidden/>
              </w:rPr>
              <w:fldChar w:fldCharType="separate"/>
            </w:r>
            <w:r w:rsidR="00F7285C">
              <w:rPr>
                <w:webHidden/>
              </w:rPr>
              <w:t>13</w:t>
            </w:r>
            <w:r w:rsidR="00FD7306">
              <w:rPr>
                <w:webHidden/>
              </w:rPr>
              <w:fldChar w:fldCharType="end"/>
            </w:r>
          </w:hyperlink>
        </w:p>
        <w:p w14:paraId="1187F5E4" w14:textId="3E11542A" w:rsidR="00FD7306" w:rsidRDefault="00A412D8">
          <w:pPr>
            <w:pStyle w:val="TOC2"/>
            <w:tabs>
              <w:tab w:val="left" w:pos="1418"/>
            </w:tabs>
            <w:rPr>
              <w:rFonts w:asciiTheme="minorHAnsi" w:eastAsiaTheme="minorEastAsia" w:hAnsiTheme="minorHAnsi" w:cstheme="minorBidi"/>
              <w:sz w:val="22"/>
              <w:szCs w:val="22"/>
              <w:lang w:eastAsia="en-AU"/>
            </w:rPr>
          </w:pPr>
          <w:hyperlink w:anchor="_Toc8914064" w:history="1">
            <w:r w:rsidR="00FD7306" w:rsidRPr="008A1619">
              <w:rPr>
                <w:rStyle w:val="Hyperlink"/>
                <w:rFonts w:eastAsiaTheme="minorHAnsi"/>
              </w:rPr>
              <w:t>3.2</w:t>
            </w:r>
            <w:r w:rsidR="00FD7306">
              <w:rPr>
                <w:rFonts w:asciiTheme="minorHAnsi" w:eastAsiaTheme="minorEastAsia" w:hAnsiTheme="minorHAnsi" w:cstheme="minorBidi"/>
                <w:sz w:val="22"/>
                <w:szCs w:val="22"/>
                <w:lang w:eastAsia="en-AU"/>
              </w:rPr>
              <w:tab/>
            </w:r>
            <w:r w:rsidR="00FD7306" w:rsidRPr="008A1619">
              <w:rPr>
                <w:rStyle w:val="Hyperlink"/>
                <w:rFonts w:eastAsiaTheme="minorHAnsi"/>
              </w:rPr>
              <w:t>Indigenous groups</w:t>
            </w:r>
            <w:r w:rsidR="00FD7306">
              <w:rPr>
                <w:webHidden/>
              </w:rPr>
              <w:tab/>
            </w:r>
            <w:r w:rsidR="00FD7306">
              <w:rPr>
                <w:webHidden/>
              </w:rPr>
              <w:fldChar w:fldCharType="begin"/>
            </w:r>
            <w:r w:rsidR="00FD7306">
              <w:rPr>
                <w:webHidden/>
              </w:rPr>
              <w:instrText xml:space="preserve"> PAGEREF _Toc8914064 \h </w:instrText>
            </w:r>
            <w:r w:rsidR="00FD7306">
              <w:rPr>
                <w:webHidden/>
              </w:rPr>
            </w:r>
            <w:r w:rsidR="00FD7306">
              <w:rPr>
                <w:webHidden/>
              </w:rPr>
              <w:fldChar w:fldCharType="separate"/>
            </w:r>
            <w:r w:rsidR="00F7285C">
              <w:rPr>
                <w:webHidden/>
              </w:rPr>
              <w:t>16</w:t>
            </w:r>
            <w:r w:rsidR="00FD7306">
              <w:rPr>
                <w:webHidden/>
              </w:rPr>
              <w:fldChar w:fldCharType="end"/>
            </w:r>
          </w:hyperlink>
        </w:p>
        <w:p w14:paraId="27F0F81B" w14:textId="79DA447E" w:rsidR="00FD7306" w:rsidRDefault="00A412D8">
          <w:pPr>
            <w:pStyle w:val="TOC2"/>
            <w:tabs>
              <w:tab w:val="left" w:pos="1418"/>
            </w:tabs>
            <w:rPr>
              <w:rFonts w:asciiTheme="minorHAnsi" w:eastAsiaTheme="minorEastAsia" w:hAnsiTheme="minorHAnsi" w:cstheme="minorBidi"/>
              <w:sz w:val="22"/>
              <w:szCs w:val="22"/>
              <w:lang w:eastAsia="en-AU"/>
            </w:rPr>
          </w:pPr>
          <w:hyperlink w:anchor="_Toc8914065" w:history="1">
            <w:r w:rsidR="00FD7306" w:rsidRPr="008A1619">
              <w:rPr>
                <w:rStyle w:val="Hyperlink"/>
                <w:rFonts w:eastAsiaTheme="minorHAnsi"/>
              </w:rPr>
              <w:t>3.3</w:t>
            </w:r>
            <w:r w:rsidR="00FD7306">
              <w:rPr>
                <w:rFonts w:asciiTheme="minorHAnsi" w:eastAsiaTheme="minorEastAsia" w:hAnsiTheme="minorHAnsi" w:cstheme="minorBidi"/>
                <w:sz w:val="22"/>
                <w:szCs w:val="22"/>
                <w:lang w:eastAsia="en-AU"/>
              </w:rPr>
              <w:tab/>
            </w:r>
            <w:r w:rsidR="00FD7306" w:rsidRPr="008A1619">
              <w:rPr>
                <w:rStyle w:val="Hyperlink"/>
                <w:rFonts w:eastAsiaTheme="minorHAnsi"/>
              </w:rPr>
              <w:t>Minority groups</w:t>
            </w:r>
            <w:r w:rsidR="00FD7306">
              <w:rPr>
                <w:webHidden/>
              </w:rPr>
              <w:tab/>
            </w:r>
            <w:r w:rsidR="00FD7306">
              <w:rPr>
                <w:webHidden/>
              </w:rPr>
              <w:fldChar w:fldCharType="begin"/>
            </w:r>
            <w:r w:rsidR="00FD7306">
              <w:rPr>
                <w:webHidden/>
              </w:rPr>
              <w:instrText xml:space="preserve"> PAGEREF _Toc8914065 \h </w:instrText>
            </w:r>
            <w:r w:rsidR="00FD7306">
              <w:rPr>
                <w:webHidden/>
              </w:rPr>
            </w:r>
            <w:r w:rsidR="00FD7306">
              <w:rPr>
                <w:webHidden/>
              </w:rPr>
              <w:fldChar w:fldCharType="separate"/>
            </w:r>
            <w:r w:rsidR="00F7285C">
              <w:rPr>
                <w:webHidden/>
              </w:rPr>
              <w:t>17</w:t>
            </w:r>
            <w:r w:rsidR="00FD7306">
              <w:rPr>
                <w:webHidden/>
              </w:rPr>
              <w:fldChar w:fldCharType="end"/>
            </w:r>
          </w:hyperlink>
        </w:p>
        <w:p w14:paraId="626AFA33" w14:textId="3F195A0C" w:rsidR="00FD7306" w:rsidRDefault="00A412D8">
          <w:pPr>
            <w:pStyle w:val="TOC2"/>
            <w:tabs>
              <w:tab w:val="left" w:pos="1418"/>
            </w:tabs>
            <w:rPr>
              <w:rFonts w:asciiTheme="minorHAnsi" w:eastAsiaTheme="minorEastAsia" w:hAnsiTheme="minorHAnsi" w:cstheme="minorBidi"/>
              <w:sz w:val="22"/>
              <w:szCs w:val="22"/>
              <w:lang w:eastAsia="en-AU"/>
            </w:rPr>
          </w:pPr>
          <w:hyperlink w:anchor="_Toc8914066" w:history="1">
            <w:r w:rsidR="00FD7306" w:rsidRPr="008A1619">
              <w:rPr>
                <w:rStyle w:val="Hyperlink"/>
                <w:rFonts w:eastAsiaTheme="minorHAnsi"/>
              </w:rPr>
              <w:t>3.4</w:t>
            </w:r>
            <w:r w:rsidR="00FD7306">
              <w:rPr>
                <w:rFonts w:asciiTheme="minorHAnsi" w:eastAsiaTheme="minorEastAsia" w:hAnsiTheme="minorHAnsi" w:cstheme="minorBidi"/>
                <w:sz w:val="22"/>
                <w:szCs w:val="22"/>
                <w:lang w:eastAsia="en-AU"/>
              </w:rPr>
              <w:tab/>
            </w:r>
            <w:r w:rsidR="00FD7306" w:rsidRPr="008A1619">
              <w:rPr>
                <w:rStyle w:val="Hyperlink"/>
                <w:rFonts w:eastAsiaTheme="minorHAnsi"/>
              </w:rPr>
              <w:t>Landless people/squatters</w:t>
            </w:r>
            <w:r w:rsidR="00FD7306">
              <w:rPr>
                <w:webHidden/>
              </w:rPr>
              <w:tab/>
            </w:r>
            <w:r w:rsidR="00FD7306">
              <w:rPr>
                <w:webHidden/>
              </w:rPr>
              <w:fldChar w:fldCharType="begin"/>
            </w:r>
            <w:r w:rsidR="00FD7306">
              <w:rPr>
                <w:webHidden/>
              </w:rPr>
              <w:instrText xml:space="preserve"> PAGEREF _Toc8914066 \h </w:instrText>
            </w:r>
            <w:r w:rsidR="00FD7306">
              <w:rPr>
                <w:webHidden/>
              </w:rPr>
            </w:r>
            <w:r w:rsidR="00FD7306">
              <w:rPr>
                <w:webHidden/>
              </w:rPr>
              <w:fldChar w:fldCharType="separate"/>
            </w:r>
            <w:r w:rsidR="00F7285C">
              <w:rPr>
                <w:webHidden/>
              </w:rPr>
              <w:t>18</w:t>
            </w:r>
            <w:r w:rsidR="00FD7306">
              <w:rPr>
                <w:webHidden/>
              </w:rPr>
              <w:fldChar w:fldCharType="end"/>
            </w:r>
          </w:hyperlink>
        </w:p>
        <w:p w14:paraId="3D0D60ED" w14:textId="05FF7BB6" w:rsidR="00FD7306" w:rsidRDefault="00A412D8">
          <w:pPr>
            <w:pStyle w:val="TOC2"/>
            <w:tabs>
              <w:tab w:val="left" w:pos="1418"/>
            </w:tabs>
            <w:rPr>
              <w:rFonts w:asciiTheme="minorHAnsi" w:eastAsiaTheme="minorEastAsia" w:hAnsiTheme="minorHAnsi" w:cstheme="minorBidi"/>
              <w:sz w:val="22"/>
              <w:szCs w:val="22"/>
              <w:lang w:eastAsia="en-AU"/>
            </w:rPr>
          </w:pPr>
          <w:hyperlink w:anchor="_Toc8914067" w:history="1">
            <w:r w:rsidR="00FD7306" w:rsidRPr="008A1619">
              <w:rPr>
                <w:rStyle w:val="Hyperlink"/>
                <w:rFonts w:eastAsiaTheme="minorHAnsi"/>
              </w:rPr>
              <w:t>3.5</w:t>
            </w:r>
            <w:r w:rsidR="00FD7306">
              <w:rPr>
                <w:rFonts w:asciiTheme="minorHAnsi" w:eastAsiaTheme="minorEastAsia" w:hAnsiTheme="minorHAnsi" w:cstheme="minorBidi"/>
                <w:sz w:val="22"/>
                <w:szCs w:val="22"/>
                <w:lang w:eastAsia="en-AU"/>
              </w:rPr>
              <w:tab/>
            </w:r>
            <w:r w:rsidR="00FD7306" w:rsidRPr="008A1619">
              <w:rPr>
                <w:rStyle w:val="Hyperlink"/>
                <w:rFonts w:eastAsiaTheme="minorHAnsi"/>
              </w:rPr>
              <w:t>General questions</w:t>
            </w:r>
            <w:r w:rsidR="00FD7306">
              <w:rPr>
                <w:webHidden/>
              </w:rPr>
              <w:tab/>
            </w:r>
            <w:r w:rsidR="00FD7306">
              <w:rPr>
                <w:webHidden/>
              </w:rPr>
              <w:fldChar w:fldCharType="begin"/>
            </w:r>
            <w:r w:rsidR="00FD7306">
              <w:rPr>
                <w:webHidden/>
              </w:rPr>
              <w:instrText xml:space="preserve"> PAGEREF _Toc8914067 \h </w:instrText>
            </w:r>
            <w:r w:rsidR="00FD7306">
              <w:rPr>
                <w:webHidden/>
              </w:rPr>
            </w:r>
            <w:r w:rsidR="00FD7306">
              <w:rPr>
                <w:webHidden/>
              </w:rPr>
              <w:fldChar w:fldCharType="separate"/>
            </w:r>
            <w:r w:rsidR="00F7285C">
              <w:rPr>
                <w:webHidden/>
              </w:rPr>
              <w:t>19</w:t>
            </w:r>
            <w:r w:rsidR="00FD7306">
              <w:rPr>
                <w:webHidden/>
              </w:rPr>
              <w:fldChar w:fldCharType="end"/>
            </w:r>
          </w:hyperlink>
        </w:p>
        <w:p w14:paraId="454C3B3D" w14:textId="7DE09997" w:rsidR="00FD7306" w:rsidRDefault="00A412D8">
          <w:pPr>
            <w:pStyle w:val="TOC1"/>
            <w:rPr>
              <w:rFonts w:asciiTheme="minorHAnsi" w:eastAsiaTheme="minorEastAsia" w:hAnsiTheme="minorHAnsi" w:cstheme="minorBidi"/>
              <w:b w:val="0"/>
              <w:sz w:val="22"/>
              <w:szCs w:val="22"/>
              <w:lang w:eastAsia="en-AU"/>
            </w:rPr>
          </w:pPr>
          <w:hyperlink w:anchor="_Toc8914068" w:history="1">
            <w:r w:rsidR="00FD7306" w:rsidRPr="008A1619">
              <w:rPr>
                <w:rStyle w:val="Hyperlink"/>
                <w:rFonts w:eastAsiaTheme="minorHAnsi"/>
              </w:rPr>
              <w:t>4</w:t>
            </w:r>
            <w:r w:rsidR="00FD7306">
              <w:rPr>
                <w:rFonts w:asciiTheme="minorHAnsi" w:eastAsiaTheme="minorEastAsia" w:hAnsiTheme="minorHAnsi" w:cstheme="minorBidi"/>
                <w:b w:val="0"/>
                <w:sz w:val="22"/>
                <w:szCs w:val="22"/>
                <w:lang w:eastAsia="en-AU"/>
              </w:rPr>
              <w:tab/>
            </w:r>
            <w:r w:rsidR="00FD7306" w:rsidRPr="008A1619">
              <w:rPr>
                <w:rStyle w:val="Hyperlink"/>
                <w:rFonts w:eastAsiaTheme="minorHAnsi"/>
              </w:rPr>
              <w:t>Eviction, Expropriation and Relocation</w:t>
            </w:r>
            <w:r w:rsidR="00FD7306">
              <w:rPr>
                <w:webHidden/>
              </w:rPr>
              <w:tab/>
            </w:r>
            <w:r w:rsidR="00FD7306">
              <w:rPr>
                <w:webHidden/>
              </w:rPr>
              <w:fldChar w:fldCharType="begin"/>
            </w:r>
            <w:r w:rsidR="00FD7306">
              <w:rPr>
                <w:webHidden/>
              </w:rPr>
              <w:instrText xml:space="preserve"> PAGEREF _Toc8914068 \h </w:instrText>
            </w:r>
            <w:r w:rsidR="00FD7306">
              <w:rPr>
                <w:webHidden/>
              </w:rPr>
            </w:r>
            <w:r w:rsidR="00FD7306">
              <w:rPr>
                <w:webHidden/>
              </w:rPr>
              <w:fldChar w:fldCharType="separate"/>
            </w:r>
            <w:r w:rsidR="00F7285C">
              <w:rPr>
                <w:webHidden/>
              </w:rPr>
              <w:t>20</w:t>
            </w:r>
            <w:r w:rsidR="00FD7306">
              <w:rPr>
                <w:webHidden/>
              </w:rPr>
              <w:fldChar w:fldCharType="end"/>
            </w:r>
          </w:hyperlink>
        </w:p>
        <w:p w14:paraId="18897685" w14:textId="0B5C6FFE" w:rsidR="00FD7306" w:rsidRDefault="00A412D8">
          <w:pPr>
            <w:pStyle w:val="TOC2"/>
            <w:tabs>
              <w:tab w:val="left" w:pos="1418"/>
            </w:tabs>
            <w:rPr>
              <w:rFonts w:asciiTheme="minorHAnsi" w:eastAsiaTheme="minorEastAsia" w:hAnsiTheme="minorHAnsi" w:cstheme="minorBidi"/>
              <w:sz w:val="22"/>
              <w:szCs w:val="22"/>
              <w:lang w:eastAsia="en-AU"/>
            </w:rPr>
          </w:pPr>
          <w:hyperlink w:anchor="_Toc8914069" w:history="1">
            <w:r w:rsidR="00FD7306" w:rsidRPr="008A1619">
              <w:rPr>
                <w:rStyle w:val="Hyperlink"/>
                <w:rFonts w:eastAsiaTheme="minorHAnsi"/>
              </w:rPr>
              <w:t>4.1</w:t>
            </w:r>
            <w:r w:rsidR="00FD7306">
              <w:rPr>
                <w:rFonts w:asciiTheme="minorHAnsi" w:eastAsiaTheme="minorEastAsia" w:hAnsiTheme="minorHAnsi" w:cstheme="minorBidi"/>
                <w:sz w:val="22"/>
                <w:szCs w:val="22"/>
                <w:lang w:eastAsia="en-AU"/>
              </w:rPr>
              <w:tab/>
            </w:r>
            <w:r w:rsidR="00FD7306" w:rsidRPr="008A1619">
              <w:rPr>
                <w:rStyle w:val="Hyperlink"/>
                <w:rFonts w:eastAsiaTheme="minorHAnsi"/>
              </w:rPr>
              <w:t>Eviction</w:t>
            </w:r>
            <w:r w:rsidR="00FD7306">
              <w:rPr>
                <w:webHidden/>
              </w:rPr>
              <w:tab/>
            </w:r>
            <w:r w:rsidR="00FD7306">
              <w:rPr>
                <w:webHidden/>
              </w:rPr>
              <w:fldChar w:fldCharType="begin"/>
            </w:r>
            <w:r w:rsidR="00FD7306">
              <w:rPr>
                <w:webHidden/>
              </w:rPr>
              <w:instrText xml:space="preserve"> PAGEREF _Toc8914069 \h </w:instrText>
            </w:r>
            <w:r w:rsidR="00FD7306">
              <w:rPr>
                <w:webHidden/>
              </w:rPr>
            </w:r>
            <w:r w:rsidR="00FD7306">
              <w:rPr>
                <w:webHidden/>
              </w:rPr>
              <w:fldChar w:fldCharType="separate"/>
            </w:r>
            <w:r w:rsidR="00F7285C">
              <w:rPr>
                <w:webHidden/>
              </w:rPr>
              <w:t>20</w:t>
            </w:r>
            <w:r w:rsidR="00FD7306">
              <w:rPr>
                <w:webHidden/>
              </w:rPr>
              <w:fldChar w:fldCharType="end"/>
            </w:r>
          </w:hyperlink>
        </w:p>
        <w:p w14:paraId="6C947A3F" w14:textId="031D9261" w:rsidR="00FD7306" w:rsidRDefault="00A412D8">
          <w:pPr>
            <w:pStyle w:val="TOC2"/>
            <w:tabs>
              <w:tab w:val="left" w:pos="1418"/>
            </w:tabs>
            <w:rPr>
              <w:rFonts w:asciiTheme="minorHAnsi" w:eastAsiaTheme="minorEastAsia" w:hAnsiTheme="minorHAnsi" w:cstheme="minorBidi"/>
              <w:sz w:val="22"/>
              <w:szCs w:val="22"/>
              <w:lang w:eastAsia="en-AU"/>
            </w:rPr>
          </w:pPr>
          <w:hyperlink w:anchor="_Toc8914070" w:history="1">
            <w:r w:rsidR="00FD7306" w:rsidRPr="008A1619">
              <w:rPr>
                <w:rStyle w:val="Hyperlink"/>
                <w:rFonts w:eastAsiaTheme="minorHAnsi"/>
              </w:rPr>
              <w:t>4.2</w:t>
            </w:r>
            <w:r w:rsidR="00FD7306">
              <w:rPr>
                <w:rFonts w:asciiTheme="minorHAnsi" w:eastAsiaTheme="minorEastAsia" w:hAnsiTheme="minorHAnsi" w:cstheme="minorBidi"/>
                <w:sz w:val="22"/>
                <w:szCs w:val="22"/>
                <w:lang w:eastAsia="en-AU"/>
              </w:rPr>
              <w:tab/>
            </w:r>
            <w:r w:rsidR="00FD7306" w:rsidRPr="008A1619">
              <w:rPr>
                <w:rStyle w:val="Hyperlink"/>
                <w:rFonts w:eastAsiaTheme="minorHAnsi"/>
              </w:rPr>
              <w:t>Expropriation</w:t>
            </w:r>
            <w:r w:rsidR="00FD7306">
              <w:rPr>
                <w:webHidden/>
              </w:rPr>
              <w:tab/>
            </w:r>
            <w:r w:rsidR="00FD7306">
              <w:rPr>
                <w:webHidden/>
              </w:rPr>
              <w:fldChar w:fldCharType="begin"/>
            </w:r>
            <w:r w:rsidR="00FD7306">
              <w:rPr>
                <w:webHidden/>
              </w:rPr>
              <w:instrText xml:space="preserve"> PAGEREF _Toc8914070 \h </w:instrText>
            </w:r>
            <w:r w:rsidR="00FD7306">
              <w:rPr>
                <w:webHidden/>
              </w:rPr>
            </w:r>
            <w:r w:rsidR="00FD7306">
              <w:rPr>
                <w:webHidden/>
              </w:rPr>
              <w:fldChar w:fldCharType="separate"/>
            </w:r>
            <w:r w:rsidR="00F7285C">
              <w:rPr>
                <w:webHidden/>
              </w:rPr>
              <w:t>20</w:t>
            </w:r>
            <w:r w:rsidR="00FD7306">
              <w:rPr>
                <w:webHidden/>
              </w:rPr>
              <w:fldChar w:fldCharType="end"/>
            </w:r>
          </w:hyperlink>
        </w:p>
        <w:p w14:paraId="1722A9FE" w14:textId="3344742D" w:rsidR="00FD7306" w:rsidRDefault="00A412D8">
          <w:pPr>
            <w:pStyle w:val="TOC2"/>
            <w:tabs>
              <w:tab w:val="left" w:pos="1418"/>
            </w:tabs>
            <w:rPr>
              <w:rFonts w:asciiTheme="minorHAnsi" w:eastAsiaTheme="minorEastAsia" w:hAnsiTheme="minorHAnsi" w:cstheme="minorBidi"/>
              <w:sz w:val="22"/>
              <w:szCs w:val="22"/>
              <w:lang w:eastAsia="en-AU"/>
            </w:rPr>
          </w:pPr>
          <w:hyperlink w:anchor="_Toc8914071" w:history="1">
            <w:r w:rsidR="00FD7306" w:rsidRPr="008A1619">
              <w:rPr>
                <w:rStyle w:val="Hyperlink"/>
                <w:rFonts w:eastAsiaTheme="minorHAnsi"/>
              </w:rPr>
              <w:t>4.3</w:t>
            </w:r>
            <w:r w:rsidR="00FD7306">
              <w:rPr>
                <w:rFonts w:asciiTheme="minorHAnsi" w:eastAsiaTheme="minorEastAsia" w:hAnsiTheme="minorHAnsi" w:cstheme="minorBidi"/>
                <w:sz w:val="22"/>
                <w:szCs w:val="22"/>
                <w:lang w:eastAsia="en-AU"/>
              </w:rPr>
              <w:tab/>
            </w:r>
            <w:r w:rsidR="00FD7306" w:rsidRPr="008A1619">
              <w:rPr>
                <w:rStyle w:val="Hyperlink"/>
                <w:rFonts w:eastAsiaTheme="minorHAnsi"/>
              </w:rPr>
              <w:t>Relocation</w:t>
            </w:r>
            <w:r w:rsidR="00FD7306">
              <w:rPr>
                <w:webHidden/>
              </w:rPr>
              <w:tab/>
            </w:r>
            <w:r w:rsidR="00FD7306">
              <w:rPr>
                <w:webHidden/>
              </w:rPr>
              <w:fldChar w:fldCharType="begin"/>
            </w:r>
            <w:r w:rsidR="00FD7306">
              <w:rPr>
                <w:webHidden/>
              </w:rPr>
              <w:instrText xml:space="preserve"> PAGEREF _Toc8914071 \h </w:instrText>
            </w:r>
            <w:r w:rsidR="00FD7306">
              <w:rPr>
                <w:webHidden/>
              </w:rPr>
            </w:r>
            <w:r w:rsidR="00FD7306">
              <w:rPr>
                <w:webHidden/>
              </w:rPr>
              <w:fldChar w:fldCharType="separate"/>
            </w:r>
            <w:r w:rsidR="00F7285C">
              <w:rPr>
                <w:webHidden/>
              </w:rPr>
              <w:t>21</w:t>
            </w:r>
            <w:r w:rsidR="00FD7306">
              <w:rPr>
                <w:webHidden/>
              </w:rPr>
              <w:fldChar w:fldCharType="end"/>
            </w:r>
          </w:hyperlink>
        </w:p>
        <w:p w14:paraId="27E0265A" w14:textId="2BD2A0E7" w:rsidR="00FD7306" w:rsidRDefault="00A412D8">
          <w:pPr>
            <w:pStyle w:val="TOC2"/>
            <w:tabs>
              <w:tab w:val="left" w:pos="1418"/>
            </w:tabs>
            <w:rPr>
              <w:rFonts w:asciiTheme="minorHAnsi" w:eastAsiaTheme="minorEastAsia" w:hAnsiTheme="minorHAnsi" w:cstheme="minorBidi"/>
              <w:sz w:val="22"/>
              <w:szCs w:val="22"/>
              <w:lang w:eastAsia="en-AU"/>
            </w:rPr>
          </w:pPr>
          <w:hyperlink w:anchor="_Toc8914072" w:history="1">
            <w:r w:rsidR="00FD7306" w:rsidRPr="008A1619">
              <w:rPr>
                <w:rStyle w:val="Hyperlink"/>
                <w:rFonts w:eastAsiaTheme="minorHAnsi"/>
              </w:rPr>
              <w:t>4.4</w:t>
            </w:r>
            <w:r w:rsidR="00FD7306">
              <w:rPr>
                <w:rFonts w:asciiTheme="minorHAnsi" w:eastAsiaTheme="minorEastAsia" w:hAnsiTheme="minorHAnsi" w:cstheme="minorBidi"/>
                <w:sz w:val="22"/>
                <w:szCs w:val="22"/>
                <w:lang w:eastAsia="en-AU"/>
              </w:rPr>
              <w:tab/>
            </w:r>
            <w:r w:rsidR="00FD7306" w:rsidRPr="008A1619">
              <w:rPr>
                <w:rStyle w:val="Hyperlink"/>
                <w:rFonts w:eastAsiaTheme="minorHAnsi"/>
              </w:rPr>
              <w:t>Compensation</w:t>
            </w:r>
            <w:r w:rsidR="00FD7306">
              <w:rPr>
                <w:webHidden/>
              </w:rPr>
              <w:tab/>
            </w:r>
            <w:r w:rsidR="00FD7306">
              <w:rPr>
                <w:webHidden/>
              </w:rPr>
              <w:fldChar w:fldCharType="begin"/>
            </w:r>
            <w:r w:rsidR="00FD7306">
              <w:rPr>
                <w:webHidden/>
              </w:rPr>
              <w:instrText xml:space="preserve"> PAGEREF _Toc8914072 \h </w:instrText>
            </w:r>
            <w:r w:rsidR="00FD7306">
              <w:rPr>
                <w:webHidden/>
              </w:rPr>
            </w:r>
            <w:r w:rsidR="00FD7306">
              <w:rPr>
                <w:webHidden/>
              </w:rPr>
              <w:fldChar w:fldCharType="separate"/>
            </w:r>
            <w:r w:rsidR="00F7285C">
              <w:rPr>
                <w:webHidden/>
              </w:rPr>
              <w:t>23</w:t>
            </w:r>
            <w:r w:rsidR="00FD7306">
              <w:rPr>
                <w:webHidden/>
              </w:rPr>
              <w:fldChar w:fldCharType="end"/>
            </w:r>
          </w:hyperlink>
        </w:p>
        <w:p w14:paraId="5D2C238F" w14:textId="4BCECA79" w:rsidR="00FD7306" w:rsidRDefault="00A412D8">
          <w:pPr>
            <w:pStyle w:val="TOC2"/>
            <w:tabs>
              <w:tab w:val="left" w:pos="1418"/>
            </w:tabs>
            <w:rPr>
              <w:rFonts w:asciiTheme="minorHAnsi" w:eastAsiaTheme="minorEastAsia" w:hAnsiTheme="minorHAnsi" w:cstheme="minorBidi"/>
              <w:sz w:val="22"/>
              <w:szCs w:val="22"/>
              <w:lang w:eastAsia="en-AU"/>
            </w:rPr>
          </w:pPr>
          <w:hyperlink w:anchor="_Toc8914073" w:history="1">
            <w:r w:rsidR="00FD7306" w:rsidRPr="008A1619">
              <w:rPr>
                <w:rStyle w:val="Hyperlink"/>
                <w:rFonts w:eastAsiaTheme="minorHAnsi"/>
                <w:lang w:val="en-US"/>
              </w:rPr>
              <w:t>4.5</w:t>
            </w:r>
            <w:r w:rsidR="00FD7306">
              <w:rPr>
                <w:rFonts w:asciiTheme="minorHAnsi" w:eastAsiaTheme="minorEastAsia" w:hAnsiTheme="minorHAnsi" w:cstheme="minorBidi"/>
                <w:sz w:val="22"/>
                <w:szCs w:val="22"/>
                <w:lang w:eastAsia="en-AU"/>
              </w:rPr>
              <w:tab/>
            </w:r>
            <w:r w:rsidR="00FD7306" w:rsidRPr="008A1619">
              <w:rPr>
                <w:rStyle w:val="Hyperlink"/>
                <w:rFonts w:eastAsiaTheme="minorHAnsi"/>
                <w:lang w:val="en-US"/>
              </w:rPr>
              <w:t>Shelter cluster</w:t>
            </w:r>
            <w:r w:rsidR="00FD7306">
              <w:rPr>
                <w:webHidden/>
              </w:rPr>
              <w:tab/>
            </w:r>
            <w:r w:rsidR="00FD7306">
              <w:rPr>
                <w:webHidden/>
              </w:rPr>
              <w:fldChar w:fldCharType="begin"/>
            </w:r>
            <w:r w:rsidR="00FD7306">
              <w:rPr>
                <w:webHidden/>
              </w:rPr>
              <w:instrText xml:space="preserve"> PAGEREF _Toc8914073 \h </w:instrText>
            </w:r>
            <w:r w:rsidR="00FD7306">
              <w:rPr>
                <w:webHidden/>
              </w:rPr>
            </w:r>
            <w:r w:rsidR="00FD7306">
              <w:rPr>
                <w:webHidden/>
              </w:rPr>
              <w:fldChar w:fldCharType="separate"/>
            </w:r>
            <w:r w:rsidR="00F7285C">
              <w:rPr>
                <w:webHidden/>
              </w:rPr>
              <w:t>25</w:t>
            </w:r>
            <w:r w:rsidR="00FD7306">
              <w:rPr>
                <w:webHidden/>
              </w:rPr>
              <w:fldChar w:fldCharType="end"/>
            </w:r>
          </w:hyperlink>
        </w:p>
        <w:p w14:paraId="015D0F20" w14:textId="7507CE76" w:rsidR="00FD7306" w:rsidRDefault="00A412D8">
          <w:pPr>
            <w:pStyle w:val="TOC1"/>
            <w:rPr>
              <w:rFonts w:asciiTheme="minorHAnsi" w:eastAsiaTheme="minorEastAsia" w:hAnsiTheme="minorHAnsi" w:cstheme="minorBidi"/>
              <w:b w:val="0"/>
              <w:sz w:val="22"/>
              <w:szCs w:val="22"/>
              <w:lang w:eastAsia="en-AU"/>
            </w:rPr>
          </w:pPr>
          <w:hyperlink w:anchor="_Toc8914074" w:history="1">
            <w:r w:rsidR="00FD7306" w:rsidRPr="008A1619">
              <w:rPr>
                <w:rStyle w:val="Hyperlink"/>
              </w:rPr>
              <w:t>5</w:t>
            </w:r>
            <w:r w:rsidR="00FD7306">
              <w:rPr>
                <w:rFonts w:asciiTheme="minorHAnsi" w:eastAsiaTheme="minorEastAsia" w:hAnsiTheme="minorHAnsi" w:cstheme="minorBidi"/>
                <w:b w:val="0"/>
                <w:sz w:val="22"/>
                <w:szCs w:val="22"/>
                <w:lang w:eastAsia="en-AU"/>
              </w:rPr>
              <w:tab/>
            </w:r>
            <w:r w:rsidR="00FD7306" w:rsidRPr="008A1619">
              <w:rPr>
                <w:rStyle w:val="Hyperlink"/>
              </w:rPr>
              <w:t>Bibliography</w:t>
            </w:r>
            <w:r w:rsidR="00FD7306">
              <w:rPr>
                <w:webHidden/>
              </w:rPr>
              <w:tab/>
            </w:r>
            <w:r w:rsidR="00FD7306">
              <w:rPr>
                <w:webHidden/>
              </w:rPr>
              <w:fldChar w:fldCharType="begin"/>
            </w:r>
            <w:r w:rsidR="00FD7306">
              <w:rPr>
                <w:webHidden/>
              </w:rPr>
              <w:instrText xml:space="preserve"> PAGEREF _Toc8914074 \h </w:instrText>
            </w:r>
            <w:r w:rsidR="00FD7306">
              <w:rPr>
                <w:webHidden/>
              </w:rPr>
            </w:r>
            <w:r w:rsidR="00FD7306">
              <w:rPr>
                <w:webHidden/>
              </w:rPr>
              <w:fldChar w:fldCharType="separate"/>
            </w:r>
            <w:r w:rsidR="00F7285C">
              <w:rPr>
                <w:webHidden/>
              </w:rPr>
              <w:t>26</w:t>
            </w:r>
            <w:r w:rsidR="00FD7306">
              <w:rPr>
                <w:webHidden/>
              </w:rPr>
              <w:fldChar w:fldCharType="end"/>
            </w:r>
          </w:hyperlink>
        </w:p>
        <w:p w14:paraId="6A1A00DC" w14:textId="57DC5DF3" w:rsidR="00FD7306" w:rsidRDefault="00A412D8">
          <w:pPr>
            <w:pStyle w:val="TOC2"/>
            <w:tabs>
              <w:tab w:val="left" w:pos="1418"/>
            </w:tabs>
            <w:rPr>
              <w:rFonts w:asciiTheme="minorHAnsi" w:eastAsiaTheme="minorEastAsia" w:hAnsiTheme="minorHAnsi" w:cstheme="minorBidi"/>
              <w:sz w:val="22"/>
              <w:szCs w:val="22"/>
              <w:lang w:eastAsia="en-AU"/>
            </w:rPr>
          </w:pPr>
          <w:hyperlink w:anchor="_Toc8914075" w:history="1">
            <w:r w:rsidR="00FD7306" w:rsidRPr="008A1619">
              <w:rPr>
                <w:rStyle w:val="Hyperlink"/>
              </w:rPr>
              <w:t>5.1</w:t>
            </w:r>
            <w:r w:rsidR="00FD7306">
              <w:rPr>
                <w:rFonts w:asciiTheme="minorHAnsi" w:eastAsiaTheme="minorEastAsia" w:hAnsiTheme="minorHAnsi" w:cstheme="minorBidi"/>
                <w:sz w:val="22"/>
                <w:szCs w:val="22"/>
                <w:lang w:eastAsia="en-AU"/>
              </w:rPr>
              <w:tab/>
            </w:r>
            <w:r w:rsidR="00FD7306" w:rsidRPr="008A1619">
              <w:rPr>
                <w:rStyle w:val="Hyperlink"/>
              </w:rPr>
              <w:t>Legislation and regulations</w:t>
            </w:r>
            <w:r w:rsidR="00FD7306">
              <w:rPr>
                <w:webHidden/>
              </w:rPr>
              <w:tab/>
            </w:r>
            <w:r w:rsidR="00FD7306">
              <w:rPr>
                <w:webHidden/>
              </w:rPr>
              <w:fldChar w:fldCharType="begin"/>
            </w:r>
            <w:r w:rsidR="00FD7306">
              <w:rPr>
                <w:webHidden/>
              </w:rPr>
              <w:instrText xml:space="preserve"> PAGEREF _Toc8914075 \h </w:instrText>
            </w:r>
            <w:r w:rsidR="00FD7306">
              <w:rPr>
                <w:webHidden/>
              </w:rPr>
            </w:r>
            <w:r w:rsidR="00FD7306">
              <w:rPr>
                <w:webHidden/>
              </w:rPr>
              <w:fldChar w:fldCharType="separate"/>
            </w:r>
            <w:r w:rsidR="00F7285C">
              <w:rPr>
                <w:webHidden/>
              </w:rPr>
              <w:t>26</w:t>
            </w:r>
            <w:r w:rsidR="00FD7306">
              <w:rPr>
                <w:webHidden/>
              </w:rPr>
              <w:fldChar w:fldCharType="end"/>
            </w:r>
          </w:hyperlink>
        </w:p>
        <w:p w14:paraId="029FE7A5" w14:textId="5ABD3514" w:rsidR="00FD7306" w:rsidRDefault="00A412D8">
          <w:pPr>
            <w:pStyle w:val="TOC2"/>
            <w:tabs>
              <w:tab w:val="left" w:pos="1418"/>
            </w:tabs>
            <w:rPr>
              <w:rFonts w:asciiTheme="minorHAnsi" w:eastAsiaTheme="minorEastAsia" w:hAnsiTheme="minorHAnsi" w:cstheme="minorBidi"/>
              <w:sz w:val="22"/>
              <w:szCs w:val="22"/>
              <w:lang w:eastAsia="en-AU"/>
            </w:rPr>
          </w:pPr>
          <w:hyperlink w:anchor="_Toc8914076" w:history="1">
            <w:r w:rsidR="00FD7306" w:rsidRPr="008A1619">
              <w:rPr>
                <w:rStyle w:val="Hyperlink"/>
              </w:rPr>
              <w:t>5.2</w:t>
            </w:r>
            <w:r w:rsidR="00FD7306">
              <w:rPr>
                <w:rFonts w:asciiTheme="minorHAnsi" w:eastAsiaTheme="minorEastAsia" w:hAnsiTheme="minorHAnsi" w:cstheme="minorBidi"/>
                <w:sz w:val="22"/>
                <w:szCs w:val="22"/>
                <w:lang w:eastAsia="en-AU"/>
              </w:rPr>
              <w:tab/>
            </w:r>
            <w:r w:rsidR="00FD7306" w:rsidRPr="008A1619">
              <w:rPr>
                <w:rStyle w:val="Hyperlink"/>
              </w:rPr>
              <w:t>International law materials</w:t>
            </w:r>
            <w:r w:rsidR="00FD7306">
              <w:rPr>
                <w:webHidden/>
              </w:rPr>
              <w:tab/>
            </w:r>
            <w:r w:rsidR="00FD7306">
              <w:rPr>
                <w:webHidden/>
              </w:rPr>
              <w:fldChar w:fldCharType="begin"/>
            </w:r>
            <w:r w:rsidR="00FD7306">
              <w:rPr>
                <w:webHidden/>
              </w:rPr>
              <w:instrText xml:space="preserve"> PAGEREF _Toc8914076 \h </w:instrText>
            </w:r>
            <w:r w:rsidR="00FD7306">
              <w:rPr>
                <w:webHidden/>
              </w:rPr>
            </w:r>
            <w:r w:rsidR="00FD7306">
              <w:rPr>
                <w:webHidden/>
              </w:rPr>
              <w:fldChar w:fldCharType="separate"/>
            </w:r>
            <w:r w:rsidR="00F7285C">
              <w:rPr>
                <w:webHidden/>
              </w:rPr>
              <w:t>26</w:t>
            </w:r>
            <w:r w:rsidR="00FD7306">
              <w:rPr>
                <w:webHidden/>
              </w:rPr>
              <w:fldChar w:fldCharType="end"/>
            </w:r>
          </w:hyperlink>
        </w:p>
        <w:p w14:paraId="4B865D36" w14:textId="46E00B24" w:rsidR="00FD7306" w:rsidRDefault="00A412D8">
          <w:pPr>
            <w:pStyle w:val="TOC2"/>
            <w:tabs>
              <w:tab w:val="left" w:pos="1418"/>
            </w:tabs>
            <w:rPr>
              <w:rFonts w:asciiTheme="minorHAnsi" w:eastAsiaTheme="minorEastAsia" w:hAnsiTheme="minorHAnsi" w:cstheme="minorBidi"/>
              <w:sz w:val="22"/>
              <w:szCs w:val="22"/>
              <w:lang w:eastAsia="en-AU"/>
            </w:rPr>
          </w:pPr>
          <w:hyperlink w:anchor="_Toc8914077" w:history="1">
            <w:r w:rsidR="00FD7306" w:rsidRPr="008A1619">
              <w:rPr>
                <w:rStyle w:val="Hyperlink"/>
              </w:rPr>
              <w:t>5.3</w:t>
            </w:r>
            <w:r w:rsidR="00FD7306">
              <w:rPr>
                <w:rFonts w:asciiTheme="minorHAnsi" w:eastAsiaTheme="minorEastAsia" w:hAnsiTheme="minorHAnsi" w:cstheme="minorBidi"/>
                <w:sz w:val="22"/>
                <w:szCs w:val="22"/>
                <w:lang w:eastAsia="en-AU"/>
              </w:rPr>
              <w:tab/>
            </w:r>
            <w:r w:rsidR="00FD7306" w:rsidRPr="008A1619">
              <w:rPr>
                <w:rStyle w:val="Hyperlink"/>
              </w:rPr>
              <w:t>Secondary Sources</w:t>
            </w:r>
            <w:r w:rsidR="00FD7306">
              <w:rPr>
                <w:webHidden/>
              </w:rPr>
              <w:tab/>
            </w:r>
            <w:r w:rsidR="00FD7306">
              <w:rPr>
                <w:webHidden/>
              </w:rPr>
              <w:fldChar w:fldCharType="begin"/>
            </w:r>
            <w:r w:rsidR="00FD7306">
              <w:rPr>
                <w:webHidden/>
              </w:rPr>
              <w:instrText xml:space="preserve"> PAGEREF _Toc8914077 \h </w:instrText>
            </w:r>
            <w:r w:rsidR="00FD7306">
              <w:rPr>
                <w:webHidden/>
              </w:rPr>
            </w:r>
            <w:r w:rsidR="00FD7306">
              <w:rPr>
                <w:webHidden/>
              </w:rPr>
              <w:fldChar w:fldCharType="separate"/>
            </w:r>
            <w:r w:rsidR="00F7285C">
              <w:rPr>
                <w:webHidden/>
              </w:rPr>
              <w:t>26</w:t>
            </w:r>
            <w:r w:rsidR="00FD7306">
              <w:rPr>
                <w:webHidden/>
              </w:rPr>
              <w:fldChar w:fldCharType="end"/>
            </w:r>
          </w:hyperlink>
        </w:p>
        <w:p w14:paraId="7CB2CA44" w14:textId="67E9DF1A" w:rsidR="00FD7306" w:rsidRDefault="00A412D8">
          <w:pPr>
            <w:pStyle w:val="TOC1"/>
            <w:rPr>
              <w:rFonts w:asciiTheme="minorHAnsi" w:eastAsiaTheme="minorEastAsia" w:hAnsiTheme="minorHAnsi" w:cstheme="minorBidi"/>
              <w:b w:val="0"/>
              <w:sz w:val="22"/>
              <w:szCs w:val="22"/>
              <w:lang w:eastAsia="en-AU"/>
            </w:rPr>
          </w:pPr>
          <w:hyperlink w:anchor="_Toc8914078" w:history="1">
            <w:r w:rsidR="00FD7306" w:rsidRPr="008A1619">
              <w:rPr>
                <w:rStyle w:val="Hyperlink"/>
              </w:rPr>
              <w:t>6</w:t>
            </w:r>
            <w:r w:rsidR="00FD7306">
              <w:rPr>
                <w:rFonts w:asciiTheme="minorHAnsi" w:eastAsiaTheme="minorEastAsia" w:hAnsiTheme="minorHAnsi" w:cstheme="minorBidi"/>
                <w:b w:val="0"/>
                <w:sz w:val="22"/>
                <w:szCs w:val="22"/>
                <w:lang w:eastAsia="en-AU"/>
              </w:rPr>
              <w:tab/>
            </w:r>
            <w:r w:rsidR="00FD7306" w:rsidRPr="008A1619">
              <w:rPr>
                <w:rStyle w:val="Hyperlink"/>
              </w:rPr>
              <w:t>Glossary of abbreviated and defined terms</w:t>
            </w:r>
            <w:r w:rsidR="00FD7306">
              <w:rPr>
                <w:webHidden/>
              </w:rPr>
              <w:tab/>
            </w:r>
            <w:r w:rsidR="00FD7306">
              <w:rPr>
                <w:webHidden/>
              </w:rPr>
              <w:fldChar w:fldCharType="begin"/>
            </w:r>
            <w:r w:rsidR="00FD7306">
              <w:rPr>
                <w:webHidden/>
              </w:rPr>
              <w:instrText xml:space="preserve"> PAGEREF _Toc8914078 \h </w:instrText>
            </w:r>
            <w:r w:rsidR="00FD7306">
              <w:rPr>
                <w:webHidden/>
              </w:rPr>
            </w:r>
            <w:r w:rsidR="00FD7306">
              <w:rPr>
                <w:webHidden/>
              </w:rPr>
              <w:fldChar w:fldCharType="separate"/>
            </w:r>
            <w:r w:rsidR="00F7285C">
              <w:rPr>
                <w:webHidden/>
              </w:rPr>
              <w:t>28</w:t>
            </w:r>
            <w:r w:rsidR="00FD7306">
              <w:rPr>
                <w:webHidden/>
              </w:rPr>
              <w:fldChar w:fldCharType="end"/>
            </w:r>
          </w:hyperlink>
        </w:p>
        <w:p w14:paraId="533A0DC8" w14:textId="722B60C6" w:rsidR="002D47F2" w:rsidRDefault="002D47F2" w:rsidP="00E763BD">
          <w:pPr>
            <w:spacing w:before="0" w:after="200" w:line="276" w:lineRule="auto"/>
            <w:ind w:left="22"/>
            <w:rPr>
              <w:b/>
              <w:sz w:val="22"/>
            </w:rPr>
          </w:pPr>
          <w:r>
            <w:rPr>
              <w:b/>
              <w:noProof/>
            </w:rPr>
            <w:fldChar w:fldCharType="end"/>
          </w:r>
        </w:p>
      </w:sdtContent>
    </w:sdt>
    <w:p w14:paraId="752FA27F" w14:textId="77777777" w:rsidR="002D47F2" w:rsidRPr="00D4796C" w:rsidRDefault="002D47F2" w:rsidP="00E763BD">
      <w:pPr>
        <w:ind w:left="22"/>
        <w:rPr>
          <w:b/>
        </w:rPr>
      </w:pPr>
      <w:r w:rsidRPr="00D4796C">
        <w:rPr>
          <w:b/>
        </w:rPr>
        <w:t>Acknowledgements</w:t>
      </w:r>
    </w:p>
    <w:p w14:paraId="3F79D11B" w14:textId="6A7BAE92" w:rsidR="002D47F2" w:rsidRPr="00D4796C" w:rsidRDefault="002D47F2" w:rsidP="00E763BD">
      <w:pPr>
        <w:ind w:left="22"/>
      </w:pPr>
      <w:r w:rsidRPr="00D4796C">
        <w:t>In preparing this memorandum, Allens has received extensive assistance from</w:t>
      </w:r>
      <w:r w:rsidR="00A46D0E">
        <w:t xml:space="preserve"> Tilak Pandey and Sabana Poudel </w:t>
      </w:r>
      <w:r w:rsidR="0046482A">
        <w:t>of</w:t>
      </w:r>
      <w:r w:rsidR="00A46D0E">
        <w:t xml:space="preserve"> Pioneer Law Associates</w:t>
      </w:r>
      <w:r w:rsidR="0046482A">
        <w:t xml:space="preserve"> in Nepal</w:t>
      </w:r>
      <w:r w:rsidRPr="00D4796C">
        <w:t xml:space="preserve">. Allens is grateful to </w:t>
      </w:r>
      <w:r w:rsidR="00A46D0E" w:rsidRPr="00FD7306">
        <w:t>Tilak and Sabana</w:t>
      </w:r>
      <w:r w:rsidR="00A46D0E">
        <w:t xml:space="preserve"> </w:t>
      </w:r>
      <w:r w:rsidR="0029512A">
        <w:t>for their</w:t>
      </w:r>
      <w:r w:rsidRPr="00D4796C">
        <w:t xml:space="preserve"> generous and invaluable contribution to this research.</w:t>
      </w:r>
    </w:p>
    <w:p w14:paraId="3F57D319" w14:textId="77777777" w:rsidR="002D47F2" w:rsidRPr="00D4796C" w:rsidRDefault="002D47F2" w:rsidP="00E763BD">
      <w:pPr>
        <w:ind w:left="22"/>
      </w:pPr>
    </w:p>
    <w:p w14:paraId="274A3B34" w14:textId="77777777" w:rsidR="002D47F2" w:rsidRPr="00D4796C" w:rsidRDefault="002D47F2" w:rsidP="00E763BD">
      <w:pPr>
        <w:ind w:left="22"/>
        <w:rPr>
          <w:b/>
        </w:rPr>
      </w:pPr>
      <w:r w:rsidRPr="00D4796C">
        <w:rPr>
          <w:b/>
        </w:rPr>
        <w:t>Disclaimer</w:t>
      </w:r>
    </w:p>
    <w:p w14:paraId="65CDFA8D" w14:textId="77777777" w:rsidR="002D47F2" w:rsidRPr="00687798" w:rsidRDefault="002D47F2" w:rsidP="00E763BD">
      <w:pPr>
        <w:ind w:left="22"/>
      </w:pPr>
      <w:r w:rsidRPr="00E96B3D">
        <w:t>This report is the</w:t>
      </w:r>
      <w:r>
        <w:t xml:space="preserve"> result of a desktop review of publicly available information. This report is not legal advice.</w:t>
      </w:r>
    </w:p>
    <w:p w14:paraId="2A11EA10" w14:textId="77777777" w:rsidR="002D47F2" w:rsidRDefault="002D47F2" w:rsidP="00E763BD">
      <w:pPr>
        <w:pStyle w:val="AllensHeading1"/>
        <w:numPr>
          <w:ilvl w:val="0"/>
          <w:numId w:val="13"/>
        </w:numPr>
        <w:tabs>
          <w:tab w:val="clear" w:pos="709"/>
          <w:tab w:val="num" w:pos="731"/>
        </w:tabs>
        <w:ind w:left="731"/>
      </w:pPr>
      <w:r>
        <w:br w:type="page"/>
      </w:r>
      <w:bookmarkStart w:id="15" w:name="_Toc8914054"/>
      <w:r>
        <w:lastRenderedPageBreak/>
        <w:t>Introduction</w:t>
      </w:r>
      <w:bookmarkEnd w:id="15"/>
    </w:p>
    <w:p w14:paraId="0C4D1E70" w14:textId="77777777" w:rsidR="002D47F2" w:rsidRDefault="002D47F2" w:rsidP="00E763BD">
      <w:pPr>
        <w:pStyle w:val="AllensHeading2"/>
        <w:tabs>
          <w:tab w:val="clear" w:pos="709"/>
          <w:tab w:val="num" w:pos="2858"/>
        </w:tabs>
        <w:ind w:left="731"/>
      </w:pPr>
      <w:bookmarkStart w:id="16" w:name="_Toc8914055"/>
      <w:r>
        <w:t>Overview</w:t>
      </w:r>
      <w:bookmarkEnd w:id="16"/>
    </w:p>
    <w:p w14:paraId="05957220" w14:textId="77777777" w:rsidR="002D47F2" w:rsidRDefault="002D47F2" w:rsidP="00E763BD">
      <w:pPr>
        <w:ind w:left="731"/>
        <w:rPr>
          <w:lang w:val="en-GB"/>
        </w:rPr>
      </w:pPr>
      <w:r w:rsidRPr="00DA20DA">
        <w:rPr>
          <w:lang w:val="en-GB"/>
        </w:rPr>
        <w:t>The Red Cross Red Crescent aims to respond to disasters as rapidly and effectively as possible, by mobili</w:t>
      </w:r>
      <w:r>
        <w:rPr>
          <w:lang w:val="en-GB"/>
        </w:rPr>
        <w:t>s</w:t>
      </w:r>
      <w:r w:rsidRPr="00DA20DA">
        <w:rPr>
          <w:lang w:val="en-GB"/>
        </w:rPr>
        <w:t>ing its resources (people, money and other assets) and using its network in a coordinated manner so that the initial effects are countered and the needs of the affected communities are met.</w:t>
      </w:r>
    </w:p>
    <w:p w14:paraId="5147FB62" w14:textId="77777777" w:rsidR="002D47F2" w:rsidRDefault="002D47F2" w:rsidP="00E763BD">
      <w:pPr>
        <w:ind w:left="731"/>
        <w:rPr>
          <w:lang w:val="en-GB"/>
        </w:rPr>
      </w:pPr>
      <w:r w:rsidRPr="00DA20DA">
        <w:rPr>
          <w:lang w:val="en-GB"/>
        </w:rPr>
        <w:t>The Australian Red Cross (</w:t>
      </w:r>
      <w:r w:rsidRPr="00DA20DA">
        <w:rPr>
          <w:b/>
          <w:bCs/>
          <w:i/>
          <w:iCs/>
          <w:lang w:val="en-GB"/>
        </w:rPr>
        <w:t>ARC</w:t>
      </w:r>
      <w:r w:rsidRPr="00DA20DA">
        <w:rPr>
          <w:lang w:val="en-GB"/>
        </w:rPr>
        <w:t>) is a key Partner National Society, supporting</w:t>
      </w:r>
      <w:r w:rsidR="00920E73">
        <w:rPr>
          <w:lang w:val="en-GB"/>
        </w:rPr>
        <w:t xml:space="preserve"> </w:t>
      </w:r>
      <w:r w:rsidRPr="00DA20DA">
        <w:rPr>
          <w:lang w:val="en-GB"/>
        </w:rPr>
        <w:t>the</w:t>
      </w:r>
      <w:r w:rsidR="00920E73">
        <w:rPr>
          <w:lang w:val="en-GB"/>
        </w:rPr>
        <w:t xml:space="preserve"> </w:t>
      </w:r>
      <w:r w:rsidRPr="00DA20DA">
        <w:rPr>
          <w:lang w:val="en-GB"/>
        </w:rPr>
        <w:t>International F</w:t>
      </w:r>
      <w:r w:rsidR="00920E73">
        <w:rPr>
          <w:lang w:val="en-GB"/>
        </w:rPr>
        <w:t xml:space="preserve">ederation of </w:t>
      </w:r>
      <w:r w:rsidRPr="00DA20DA">
        <w:rPr>
          <w:lang w:val="en-GB"/>
        </w:rPr>
        <w:t>Red Cross and Red Crescent Societies</w:t>
      </w:r>
      <w:r w:rsidR="00E97BAE">
        <w:rPr>
          <w:lang w:val="en-GB"/>
        </w:rPr>
        <w:t>'</w:t>
      </w:r>
      <w:r w:rsidRPr="00DA20DA">
        <w:rPr>
          <w:lang w:val="en-GB"/>
        </w:rPr>
        <w:t xml:space="preserve"> (</w:t>
      </w:r>
      <w:r w:rsidRPr="000A5715">
        <w:rPr>
          <w:b/>
          <w:bCs/>
          <w:i/>
          <w:lang w:val="en-GB"/>
        </w:rPr>
        <w:t>IFRC</w:t>
      </w:r>
      <w:r w:rsidRPr="00DA20DA">
        <w:rPr>
          <w:lang w:val="en-GB"/>
        </w:rPr>
        <w:t>) response to natural disasters in the A</w:t>
      </w:r>
      <w:r>
        <w:rPr>
          <w:lang w:val="en-GB"/>
        </w:rPr>
        <w:t>sia-Pacific.</w:t>
      </w:r>
    </w:p>
    <w:p w14:paraId="5183BC90" w14:textId="77777777" w:rsidR="002D47F2" w:rsidRDefault="002D47F2" w:rsidP="00E763BD">
      <w:pPr>
        <w:ind w:left="731"/>
        <w:rPr>
          <w:lang w:val="en-GB"/>
        </w:rPr>
      </w:pPr>
      <w:r w:rsidRPr="00DA20DA">
        <w:rPr>
          <w:lang w:val="en-GB"/>
        </w:rPr>
        <w:t>The Red Cross Red Crescent has identified that better knowledge of local housing, land and property laws in the Asia-Pacific is vital to ensuring that emergency shelter is delivered efficiently and equitably in the aftermath of natural disaste</w:t>
      </w:r>
      <w:r>
        <w:rPr>
          <w:lang w:val="en-GB"/>
        </w:rPr>
        <w:t>rs.</w:t>
      </w:r>
    </w:p>
    <w:p w14:paraId="45E5B19C" w14:textId="77777777" w:rsidR="002D47F2" w:rsidRDefault="002D47F2" w:rsidP="00E763BD">
      <w:pPr>
        <w:ind w:left="731"/>
      </w:pPr>
      <w:r w:rsidRPr="00DA20DA">
        <w:rPr>
          <w:lang w:val="en-GB"/>
        </w:rPr>
        <w:t xml:space="preserve">Australian Red Cross, with technical support and initial research from IFRC, has provided the research template to which this memorandum responds. </w:t>
      </w:r>
      <w:r>
        <w:t>This memorandum comprises three main sections.</w:t>
      </w:r>
    </w:p>
    <w:p w14:paraId="17DB8A96" w14:textId="0DA209F5" w:rsidR="002D47F2" w:rsidRPr="00FD1AD5" w:rsidRDefault="002D47F2" w:rsidP="00E763BD">
      <w:pPr>
        <w:pStyle w:val="Bullet1"/>
        <w:tabs>
          <w:tab w:val="clear" w:pos="709"/>
          <w:tab w:val="num" w:pos="3567"/>
        </w:tabs>
        <w:ind w:left="1440"/>
      </w:pPr>
      <w:r>
        <w:t xml:space="preserve">The first section, </w:t>
      </w:r>
      <w:r w:rsidRPr="00FD1AD5">
        <w:t xml:space="preserve">entitled </w:t>
      </w:r>
      <w:hyperlink w:anchor="Common_types_of_tenure" w:history="1">
        <w:r w:rsidRPr="00FD1AD5">
          <w:rPr>
            <w:rStyle w:val="Hyperlink"/>
            <w:color w:val="auto"/>
            <w:u w:val="none"/>
          </w:rPr>
          <w:t>'common types of tenure'</w:t>
        </w:r>
      </w:hyperlink>
      <w:r w:rsidRPr="00FD1AD5">
        <w:t xml:space="preserve">, provides an overview of the different types of housing and land tenure in </w:t>
      </w:r>
      <w:r w:rsidR="00DA29DA">
        <w:t>Nepal</w:t>
      </w:r>
      <w:r w:rsidRPr="00FD1AD5">
        <w:t>. It outlines the methods used to create and transfer tenure, and analyses the degree of security of tenure afforded by each form of tenure.</w:t>
      </w:r>
    </w:p>
    <w:p w14:paraId="5C6058F5" w14:textId="1C64A2D2" w:rsidR="002D47F2" w:rsidRPr="00FD1AD5" w:rsidRDefault="002D47F2" w:rsidP="00E763BD">
      <w:pPr>
        <w:pStyle w:val="Bullet1"/>
        <w:tabs>
          <w:tab w:val="clear" w:pos="709"/>
          <w:tab w:val="num" w:pos="2858"/>
        </w:tabs>
        <w:ind w:left="1440"/>
      </w:pPr>
      <w:r w:rsidRPr="00FD1AD5">
        <w:t xml:space="preserve">The second section, entitled </w:t>
      </w:r>
      <w:hyperlink w:anchor="Security_of_tenure_of_vulnerable_group" w:history="1">
        <w:r w:rsidRPr="00FD1AD5">
          <w:rPr>
            <w:rStyle w:val="Hyperlink"/>
            <w:color w:val="auto"/>
            <w:u w:val="none"/>
          </w:rPr>
          <w:t>'security of tenure of vulnerable groups'</w:t>
        </w:r>
      </w:hyperlink>
      <w:r w:rsidRPr="00FD1AD5">
        <w:t xml:space="preserve">, considers whether, and to what extent, certain groups face legal barriers to owning or </w:t>
      </w:r>
      <w:r w:rsidR="00DA29DA">
        <w:t>accessing land and housing.</w:t>
      </w:r>
    </w:p>
    <w:p w14:paraId="77419F3E" w14:textId="5BC70936" w:rsidR="002D47F2" w:rsidRDefault="002D47F2" w:rsidP="00E763BD">
      <w:pPr>
        <w:pStyle w:val="Bullet1"/>
        <w:tabs>
          <w:tab w:val="clear" w:pos="709"/>
          <w:tab w:val="num" w:pos="2149"/>
        </w:tabs>
        <w:ind w:left="1440"/>
      </w:pPr>
      <w:r w:rsidRPr="00FD1AD5">
        <w:t xml:space="preserve">The third section, entitled </w:t>
      </w:r>
      <w:hyperlink w:anchor="Eviction_Expropriation_Relocation" w:history="1">
        <w:r w:rsidRPr="00FD1AD5">
          <w:rPr>
            <w:rStyle w:val="Hyperlink"/>
            <w:color w:val="auto"/>
            <w:u w:val="none"/>
          </w:rPr>
          <w:t>'eviction, expropriation and relocation'</w:t>
        </w:r>
      </w:hyperlink>
      <w:r w:rsidRPr="00FD1AD5">
        <w:t xml:space="preserve">, considers </w:t>
      </w:r>
      <w:r w:rsidR="00DA29DA">
        <w:t>Nepalese</w:t>
      </w:r>
      <w:r>
        <w:t xml:space="preserve"> statutory and case law which governs, or is applicable to, forced evictions, compulsory acquisition of land and relocations. This section also considers whether compensation is available in these situations.</w:t>
      </w:r>
    </w:p>
    <w:p w14:paraId="2B871179" w14:textId="77777777" w:rsidR="00DA29DA" w:rsidRDefault="002D47F2" w:rsidP="00E763BD">
      <w:pPr>
        <w:pStyle w:val="AllensHeading2"/>
        <w:tabs>
          <w:tab w:val="clear" w:pos="709"/>
          <w:tab w:val="num" w:pos="731"/>
        </w:tabs>
        <w:ind w:left="731"/>
      </w:pPr>
      <w:bookmarkStart w:id="17" w:name="_Ref474342161"/>
      <w:bookmarkStart w:id="18" w:name="_Toc8914056"/>
      <w:r>
        <w:t xml:space="preserve">Background information on </w:t>
      </w:r>
      <w:bookmarkEnd w:id="17"/>
      <w:r w:rsidR="00DA29DA">
        <w:t>Nepal</w:t>
      </w:r>
      <w:bookmarkEnd w:id="18"/>
    </w:p>
    <w:p w14:paraId="77B623D9" w14:textId="77777777" w:rsidR="00366241" w:rsidRDefault="00664E08" w:rsidP="00664E08">
      <w:pPr>
        <w:pStyle w:val="NormalIndent"/>
        <w:ind w:left="720"/>
      </w:pPr>
      <w:r>
        <w:t xml:space="preserve">Nepal is a landlocked country in South Asia with an estimated population of approximately </w:t>
      </w:r>
      <w:r w:rsidR="00920E73">
        <w:t>29</w:t>
      </w:r>
      <w:r>
        <w:t>.</w:t>
      </w:r>
      <w:r w:rsidR="00B82A97">
        <w:t>3</w:t>
      </w:r>
      <w:r>
        <w:t xml:space="preserve"> million people.</w:t>
      </w:r>
      <w:r w:rsidR="00B82A97">
        <w:rPr>
          <w:rStyle w:val="FootnoteReference"/>
        </w:rPr>
        <w:footnoteReference w:id="1"/>
      </w:r>
      <w:r>
        <w:t xml:space="preserve"> </w:t>
      </w:r>
      <w:r w:rsidR="00B82A97">
        <w:t xml:space="preserve">After hundreds of years as an independent monarchy, and following the </w:t>
      </w:r>
      <w:r>
        <w:t>Nepalese civil war in the 1990s and early 2000s</w:t>
      </w:r>
      <w:r w:rsidR="00B82A97">
        <w:t>,</w:t>
      </w:r>
      <w:r>
        <w:t xml:space="preserve"> </w:t>
      </w:r>
      <w:r w:rsidR="00B82A97">
        <w:t xml:space="preserve">Nepal became </w:t>
      </w:r>
      <w:r>
        <w:t>a republic</w:t>
      </w:r>
      <w:r w:rsidR="00B61168">
        <w:t xml:space="preserve"> in 200</w:t>
      </w:r>
      <w:r w:rsidR="00B82A97">
        <w:t xml:space="preserve">8 with the election of </w:t>
      </w:r>
      <w:r w:rsidR="002F3169">
        <w:t>its</w:t>
      </w:r>
      <w:r w:rsidR="00B82A97">
        <w:t xml:space="preserve"> first Constituent Assembly</w:t>
      </w:r>
      <w:r w:rsidR="00366241">
        <w:t>.</w:t>
      </w:r>
      <w:r w:rsidR="00B82A97">
        <w:rPr>
          <w:rStyle w:val="FootnoteReference"/>
        </w:rPr>
        <w:footnoteReference w:id="2"/>
      </w:r>
    </w:p>
    <w:p w14:paraId="218A3452" w14:textId="77777777" w:rsidR="00B82A97" w:rsidRDefault="00366241" w:rsidP="00B82A97">
      <w:pPr>
        <w:pStyle w:val="NormalIndent"/>
        <w:ind w:left="720"/>
      </w:pPr>
      <w:r>
        <w:t xml:space="preserve">The Interim Constitution of Nepal was </w:t>
      </w:r>
      <w:r w:rsidR="00381449">
        <w:t>drafted</w:t>
      </w:r>
      <w:r>
        <w:t xml:space="preserve"> in 2007, which set</w:t>
      </w:r>
      <w:r w:rsidR="00E97BAE">
        <w:t>s</w:t>
      </w:r>
      <w:r>
        <w:t xml:space="preserve"> out provisions on citizenship, fundamental rights, responsibilities, and government.</w:t>
      </w:r>
      <w:r>
        <w:rPr>
          <w:rStyle w:val="FootnoteReference"/>
        </w:rPr>
        <w:footnoteReference w:id="3"/>
      </w:r>
      <w:r>
        <w:t xml:space="preserve"> It was replaced with the </w:t>
      </w:r>
      <w:bookmarkStart w:id="22" w:name="_Hlk8913364"/>
      <w:r w:rsidRPr="00FD7306">
        <w:rPr>
          <w:i/>
        </w:rPr>
        <w:t xml:space="preserve">Constitution of Nepal </w:t>
      </w:r>
      <w:r w:rsidR="00592505" w:rsidRPr="00FD7306">
        <w:t>(</w:t>
      </w:r>
      <w:r w:rsidRPr="00592505">
        <w:t>2015</w:t>
      </w:r>
      <w:r w:rsidR="00592505">
        <w:t>)</w:t>
      </w:r>
      <w:r w:rsidR="00381449">
        <w:t xml:space="preserve"> </w:t>
      </w:r>
      <w:bookmarkEnd w:id="22"/>
      <w:r w:rsidR="00381449">
        <w:t xml:space="preserve">(the </w:t>
      </w:r>
      <w:r w:rsidR="00381449">
        <w:rPr>
          <w:b/>
          <w:i/>
        </w:rPr>
        <w:t>Constitution</w:t>
      </w:r>
      <w:r w:rsidR="00381449">
        <w:t>)</w:t>
      </w:r>
      <w:r>
        <w:t>.</w:t>
      </w:r>
      <w:r w:rsidR="00B82A97">
        <w:rPr>
          <w:rStyle w:val="FootnoteReference"/>
        </w:rPr>
        <w:footnoteReference w:id="4"/>
      </w:r>
      <w:r>
        <w:t xml:space="preserve"> </w:t>
      </w:r>
      <w:r w:rsidR="00B82A97">
        <w:t>The Constitution provides for three levels of government: federal, provincial and local.</w:t>
      </w:r>
      <w:r w:rsidR="00B82A97">
        <w:rPr>
          <w:rStyle w:val="FootnoteReference"/>
        </w:rPr>
        <w:footnoteReference w:id="5"/>
      </w:r>
      <w:r w:rsidR="00B82A97">
        <w:t xml:space="preserve"> Nepal has seven provinces, with each province divided further into </w:t>
      </w:r>
      <w:r w:rsidR="00B82A97">
        <w:lastRenderedPageBreak/>
        <w:t>districts (there are 77 districts in total).</w:t>
      </w:r>
      <w:r w:rsidR="00B82A97">
        <w:rPr>
          <w:rStyle w:val="FootnoteReference"/>
        </w:rPr>
        <w:footnoteReference w:id="6"/>
      </w:r>
      <w:r w:rsidR="00B82A97">
        <w:t xml:space="preserve"> Below the local level of government, Nepal also has Village Council</w:t>
      </w:r>
      <w:r w:rsidR="002F3169">
        <w:t>s</w:t>
      </w:r>
      <w:r w:rsidR="00B82A97">
        <w:t xml:space="preserve">, </w:t>
      </w:r>
      <w:r w:rsidR="002F3169">
        <w:t>Municipal Councils and District Assemblies</w:t>
      </w:r>
      <w:r w:rsidR="00B82A97">
        <w:t>.</w:t>
      </w:r>
      <w:r w:rsidR="00B82A97">
        <w:rPr>
          <w:rStyle w:val="FootnoteReference"/>
        </w:rPr>
        <w:footnoteReference w:id="7"/>
      </w:r>
      <w:r w:rsidR="00B82A97">
        <w:t xml:space="preserve"> State power is explicitly vested in each of the federation, provinces and districts in accordance with the Constitution,</w:t>
      </w:r>
      <w:r w:rsidR="00B82A97">
        <w:rPr>
          <w:rStyle w:val="FootnoteReference"/>
        </w:rPr>
        <w:footnoteReference w:id="8"/>
      </w:r>
      <w:r w:rsidR="00B82A97">
        <w:t xml:space="preserve"> with all residual power being vested in the federation.</w:t>
      </w:r>
      <w:r w:rsidR="00B82A97">
        <w:rPr>
          <w:rStyle w:val="FootnoteReference"/>
        </w:rPr>
        <w:footnoteReference w:id="9"/>
      </w:r>
    </w:p>
    <w:p w14:paraId="4E05E443" w14:textId="77777777" w:rsidR="00366241" w:rsidRDefault="00B82A97" w:rsidP="00B82A97">
      <w:pPr>
        <w:pStyle w:val="NormalIndent"/>
        <w:ind w:left="720"/>
      </w:pPr>
      <w:r>
        <w:t>Citizens of Nepal are known as Nepali or Nepalese. Nepal's population includes members of approximately 125 caste and ethnic groups.</w:t>
      </w:r>
      <w:r w:rsidR="002F3169">
        <w:rPr>
          <w:rStyle w:val="FootnoteReference"/>
        </w:rPr>
        <w:footnoteReference w:id="10"/>
      </w:r>
      <w:r>
        <w:t xml:space="preserve"> The national language is Nepali (spoken by about 47% of the population), though around 123 languages or dialects are spoken</w:t>
      </w:r>
      <w:r w:rsidR="002F3169">
        <w:t>,</w:t>
      </w:r>
      <w:r>
        <w:t xml:space="preserve"> including Maithili (12%), Bjojpuri (6%), Tharu (6%), Tamang (5%), Newari (3%), Magar (3%) and Bajjika (3%).</w:t>
      </w:r>
      <w:r>
        <w:rPr>
          <w:rStyle w:val="FootnoteReference"/>
        </w:rPr>
        <w:footnoteReference w:id="11"/>
      </w:r>
    </w:p>
    <w:p w14:paraId="0AC3E158" w14:textId="6CC472E5" w:rsidR="006610E6" w:rsidRDefault="005618E7" w:rsidP="007116A9">
      <w:pPr>
        <w:pStyle w:val="NormalIndent"/>
        <w:ind w:left="720"/>
      </w:pPr>
      <w:r>
        <w:t xml:space="preserve">The primary driver of Nepal's economy is agriculture, which accounts for about </w:t>
      </w:r>
      <w:r w:rsidR="00B82A97">
        <w:t>31.8</w:t>
      </w:r>
      <w:r>
        <w:t xml:space="preserve">% of the country's GDP, and about </w:t>
      </w:r>
      <w:r w:rsidR="00B82A97">
        <w:t>72.6</w:t>
      </w:r>
      <w:r>
        <w:t xml:space="preserve">% of the country's </w:t>
      </w:r>
      <w:r w:rsidR="00113B90">
        <w:t>employment</w:t>
      </w:r>
      <w:r>
        <w:t>.</w:t>
      </w:r>
      <w:r w:rsidR="00B82A97">
        <w:rPr>
          <w:rStyle w:val="FootnoteReference"/>
        </w:rPr>
        <w:footnoteReference w:id="12"/>
      </w:r>
      <w:r>
        <w:t xml:space="preserve"> </w:t>
      </w:r>
      <w:r w:rsidR="004651CD">
        <w:t>The current system of land tenure in Nepal (outlined in this report) is relatively new, and replaced a far more complex, feudal system of tenure. Under the previous system, the Crown was supreme owner of all land, and intermediary owners of land were determined by diverse customary systems of tenure.</w:t>
      </w:r>
      <w:r w:rsidR="004651CD" w:rsidRPr="004651CD">
        <w:rPr>
          <w:vertAlign w:val="superscript"/>
        </w:rPr>
        <w:footnoteReference w:id="13"/>
      </w:r>
      <w:r w:rsidR="004651CD">
        <w:t xml:space="preserve"> Customary land tenure </w:t>
      </w:r>
      <w:r w:rsidR="00C426AB">
        <w:t>has</w:t>
      </w:r>
      <w:r w:rsidR="00B82A97">
        <w:t xml:space="preserve"> been gradually abolished</w:t>
      </w:r>
      <w:r w:rsidR="004651CD">
        <w:t>.</w:t>
      </w:r>
      <w:r w:rsidR="004651CD" w:rsidRPr="004651CD">
        <w:rPr>
          <w:vertAlign w:val="superscript"/>
        </w:rPr>
        <w:footnoteReference w:id="14"/>
      </w:r>
      <w:r w:rsidR="004651CD">
        <w:t xml:space="preserve"> Nonetheless, for </w:t>
      </w:r>
      <w:r w:rsidR="00B82A97">
        <w:t>the</w:t>
      </w:r>
      <w:r w:rsidR="004651CD">
        <w:t xml:space="preserve"> reasons discussed </w:t>
      </w:r>
      <w:r w:rsidR="00307D2C">
        <w:t>herein</w:t>
      </w:r>
      <w:r w:rsidR="004651CD">
        <w:t>, land rights in Nepal remain</w:t>
      </w:r>
      <w:r w:rsidR="00C426AB">
        <w:t>s</w:t>
      </w:r>
      <w:r w:rsidR="004651CD">
        <w:t xml:space="preserve"> a difficult and sensitive political issue for the country.</w:t>
      </w:r>
    </w:p>
    <w:p w14:paraId="34947F18" w14:textId="77777777" w:rsidR="007116A9" w:rsidRDefault="006610E6" w:rsidP="007116A9">
      <w:pPr>
        <w:pStyle w:val="NormalIndent"/>
        <w:keepNext/>
        <w:ind w:left="0"/>
        <w:jc w:val="center"/>
      </w:pPr>
      <w:r>
        <w:rPr>
          <w:noProof/>
        </w:rPr>
        <w:drawing>
          <wp:inline distT="0" distB="0" distL="0" distR="0" wp14:anchorId="2BE65005" wp14:editId="262E2345">
            <wp:extent cx="2752479" cy="2741642"/>
            <wp:effectExtent l="0" t="0" r="0" b="190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9"/>
                        </a:ext>
                      </a:extLst>
                    </a:blip>
                    <a:stretch>
                      <a:fillRect/>
                    </a:stretch>
                  </pic:blipFill>
                  <pic:spPr>
                    <a:xfrm>
                      <a:off x="0" y="0"/>
                      <a:ext cx="2758964" cy="2748101"/>
                    </a:xfrm>
                    <a:prstGeom prst="rect">
                      <a:avLst/>
                    </a:prstGeom>
                  </pic:spPr>
                </pic:pic>
              </a:graphicData>
            </a:graphic>
          </wp:inline>
        </w:drawing>
      </w:r>
    </w:p>
    <w:p w14:paraId="2E5742CC" w14:textId="61B0D12D" w:rsidR="006610E6" w:rsidRDefault="007116A9" w:rsidP="007116A9">
      <w:pPr>
        <w:pStyle w:val="Caption"/>
        <w:jc w:val="center"/>
      </w:pPr>
      <w:r>
        <w:t xml:space="preserve">Figure </w:t>
      </w:r>
      <w:r w:rsidR="00DC6725">
        <w:rPr>
          <w:noProof/>
        </w:rPr>
        <w:fldChar w:fldCharType="begin"/>
      </w:r>
      <w:r w:rsidR="00DC6725">
        <w:rPr>
          <w:noProof/>
        </w:rPr>
        <w:instrText xml:space="preserve"> SEQ Figure \* ARABIC </w:instrText>
      </w:r>
      <w:r w:rsidR="00DC6725">
        <w:rPr>
          <w:noProof/>
        </w:rPr>
        <w:fldChar w:fldCharType="separate"/>
      </w:r>
      <w:r>
        <w:rPr>
          <w:noProof/>
        </w:rPr>
        <w:t>1</w:t>
      </w:r>
      <w:r w:rsidR="00DC6725">
        <w:rPr>
          <w:noProof/>
        </w:rPr>
        <w:fldChar w:fldCharType="end"/>
      </w:r>
      <w:r>
        <w:t xml:space="preserve"> - Map of Nepal (Credit: OCH</w:t>
      </w:r>
      <w:r w:rsidR="006A4263">
        <w:t>A</w:t>
      </w:r>
      <w:r>
        <w:t>)</w:t>
      </w:r>
    </w:p>
    <w:p w14:paraId="646539F9" w14:textId="77777777" w:rsidR="00DA29DA" w:rsidRDefault="00DA29DA" w:rsidP="00E763BD">
      <w:pPr>
        <w:spacing w:before="0" w:after="200" w:line="276" w:lineRule="auto"/>
        <w:ind w:left="22"/>
        <w:rPr>
          <w:b/>
          <w:sz w:val="21"/>
        </w:rPr>
      </w:pPr>
      <w:r>
        <w:br w:type="page"/>
      </w:r>
    </w:p>
    <w:p w14:paraId="1A6DE538" w14:textId="77777777" w:rsidR="002D47F2" w:rsidRDefault="002D47F2" w:rsidP="00E763BD">
      <w:pPr>
        <w:pStyle w:val="AllensHeading1"/>
        <w:tabs>
          <w:tab w:val="clear" w:pos="709"/>
          <w:tab w:val="num" w:pos="731"/>
        </w:tabs>
        <w:ind w:left="731"/>
      </w:pPr>
      <w:bookmarkStart w:id="25" w:name="_Toc8914057"/>
      <w:bookmarkStart w:id="26" w:name="Common_types_of_tenure"/>
      <w:r>
        <w:t>Common types of tenure</w:t>
      </w:r>
      <w:bookmarkEnd w:id="25"/>
    </w:p>
    <w:p w14:paraId="04FF4E12" w14:textId="77777777" w:rsidR="002D47F2" w:rsidRDefault="002D47F2" w:rsidP="00E763BD">
      <w:pPr>
        <w:pStyle w:val="AllensHeading2"/>
        <w:tabs>
          <w:tab w:val="clear" w:pos="709"/>
          <w:tab w:val="num" w:pos="731"/>
        </w:tabs>
        <w:ind w:left="731"/>
      </w:pPr>
      <w:bookmarkStart w:id="27" w:name="_Toc8914058"/>
      <w:bookmarkStart w:id="28" w:name="Tenure_typologies"/>
      <w:bookmarkEnd w:id="26"/>
      <w:r>
        <w:t>Tenure typologies</w:t>
      </w:r>
      <w:bookmarkEnd w:id="27"/>
    </w:p>
    <w:p w14:paraId="5162A8E8" w14:textId="77777777" w:rsidR="002D47F2" w:rsidRPr="00113B90" w:rsidRDefault="002D47F2" w:rsidP="00E763BD">
      <w:pPr>
        <w:pStyle w:val="AllensHeading3"/>
        <w:tabs>
          <w:tab w:val="clear" w:pos="1418"/>
          <w:tab w:val="num" w:pos="1440"/>
        </w:tabs>
        <w:ind w:left="1440"/>
        <w:rPr>
          <w:b/>
        </w:rPr>
      </w:pPr>
      <w:bookmarkStart w:id="29" w:name="sec_2_1_a"/>
      <w:bookmarkEnd w:id="28"/>
      <w:bookmarkEnd w:id="29"/>
      <w:r w:rsidRPr="00113B90">
        <w:rPr>
          <w:b/>
        </w:rPr>
        <w:t>What are the key pieces of legislation governing housing, land, building and planning? Please provide links to copies of the legislation.</w:t>
      </w:r>
    </w:p>
    <w:p w14:paraId="50F6B81A" w14:textId="05357323" w:rsidR="00E75B59" w:rsidRDefault="00E75B59" w:rsidP="00E763BD">
      <w:pPr>
        <w:pStyle w:val="Bullet2"/>
        <w:numPr>
          <w:ilvl w:val="0"/>
          <w:numId w:val="0"/>
        </w:numPr>
        <w:ind w:left="1440"/>
      </w:pPr>
      <w:r>
        <w:t>The key pieces of legislation (as amended from time to time) are:</w:t>
      </w:r>
    </w:p>
    <w:p w14:paraId="2401A5E6" w14:textId="08BE3A1B" w:rsidR="00E75B59" w:rsidRPr="002E1D8A" w:rsidRDefault="002028B0" w:rsidP="00E763BD">
      <w:pPr>
        <w:pStyle w:val="Bullet3"/>
        <w:numPr>
          <w:ilvl w:val="2"/>
          <w:numId w:val="14"/>
        </w:numPr>
        <w:ind w:left="2149"/>
      </w:pPr>
      <w:r>
        <w:t xml:space="preserve">the </w:t>
      </w:r>
      <w:hyperlink r:id="rId20" w:history="1">
        <w:r w:rsidR="00E75B59" w:rsidRPr="00A87695">
          <w:rPr>
            <w:rStyle w:val="Hyperlink"/>
          </w:rPr>
          <w:t>Constitution</w:t>
        </w:r>
      </w:hyperlink>
      <w:r>
        <w:t>;</w:t>
      </w:r>
    </w:p>
    <w:bookmarkStart w:id="30" w:name="_Hlk8913376"/>
    <w:p w14:paraId="6E4623F8" w14:textId="7EC39BC7" w:rsidR="006B25AC" w:rsidRDefault="00F7285C" w:rsidP="006B25AC">
      <w:pPr>
        <w:pStyle w:val="Bullet3"/>
        <w:numPr>
          <w:ilvl w:val="2"/>
          <w:numId w:val="14"/>
        </w:numPr>
        <w:ind w:left="2149"/>
      </w:pPr>
      <w:r>
        <w:rPr>
          <w:i/>
        </w:rPr>
        <w:fldChar w:fldCharType="begin"/>
      </w:r>
      <w:r>
        <w:rPr>
          <w:i/>
        </w:rPr>
        <w:instrText xml:space="preserve"> HYPERLINK "http://www.fao.org/faolex/results/details/en/c/LEX-FAOC107985" </w:instrText>
      </w:r>
      <w:r>
        <w:rPr>
          <w:i/>
        </w:rPr>
        <w:fldChar w:fldCharType="separate"/>
      </w:r>
      <w:r w:rsidR="006B25AC" w:rsidRPr="00F7285C">
        <w:rPr>
          <w:rStyle w:val="Hyperlink"/>
          <w:i/>
        </w:rPr>
        <w:t>Land (Survey and Measurement) Act</w:t>
      </w:r>
      <w:r w:rsidR="00592505" w:rsidRPr="00F7285C">
        <w:rPr>
          <w:rStyle w:val="Hyperlink"/>
          <w:i/>
        </w:rPr>
        <w:t>, 2019</w:t>
      </w:r>
      <w:r w:rsidR="006B25AC" w:rsidRPr="00F7285C">
        <w:rPr>
          <w:rStyle w:val="Hyperlink"/>
          <w:i/>
        </w:rPr>
        <w:t xml:space="preserve"> </w:t>
      </w:r>
      <w:r w:rsidR="00592505" w:rsidRPr="00F7285C">
        <w:rPr>
          <w:rStyle w:val="Hyperlink"/>
        </w:rPr>
        <w:t>(</w:t>
      </w:r>
      <w:r w:rsidR="006B25AC" w:rsidRPr="00F7285C">
        <w:rPr>
          <w:rStyle w:val="Hyperlink"/>
        </w:rPr>
        <w:t>1963</w:t>
      </w:r>
      <w:r w:rsidR="00592505" w:rsidRPr="00F7285C">
        <w:rPr>
          <w:rStyle w:val="Hyperlink"/>
        </w:rPr>
        <w:t>)</w:t>
      </w:r>
      <w:r>
        <w:rPr>
          <w:i/>
        </w:rPr>
        <w:fldChar w:fldCharType="end"/>
      </w:r>
      <w:r w:rsidR="00A955E2">
        <w:rPr>
          <w:i/>
        </w:rPr>
        <w:t xml:space="preserve"> </w:t>
      </w:r>
      <w:bookmarkEnd w:id="30"/>
      <w:r w:rsidR="00A955E2">
        <w:t xml:space="preserve">(the </w:t>
      </w:r>
      <w:r w:rsidR="00A955E2">
        <w:rPr>
          <w:b/>
          <w:i/>
        </w:rPr>
        <w:t>Land Survey Act</w:t>
      </w:r>
      <w:r w:rsidR="00A955E2">
        <w:t>)</w:t>
      </w:r>
      <w:r w:rsidR="006B25AC">
        <w:t>;</w:t>
      </w:r>
      <w:r w:rsidR="006B25AC">
        <w:rPr>
          <w:rStyle w:val="FootnoteReference"/>
        </w:rPr>
        <w:footnoteReference w:id="15"/>
      </w:r>
    </w:p>
    <w:bookmarkStart w:id="31" w:name="_Hlk8913381"/>
    <w:p w14:paraId="68B24F90" w14:textId="3ED7FAD8" w:rsidR="0071162D" w:rsidRPr="00FD7306" w:rsidRDefault="00A87695">
      <w:pPr>
        <w:pStyle w:val="Bullet3"/>
        <w:numPr>
          <w:ilvl w:val="2"/>
          <w:numId w:val="14"/>
        </w:numPr>
        <w:ind w:left="2149"/>
      </w:pPr>
      <w:r>
        <w:rPr>
          <w:i/>
        </w:rPr>
        <w:fldChar w:fldCharType="begin"/>
      </w:r>
      <w:r>
        <w:rPr>
          <w:i/>
        </w:rPr>
        <w:instrText xml:space="preserve"> HYPERLINK "http://www.fao.org/faolex/results/details/en/c/LEX-FAOC006239" </w:instrText>
      </w:r>
      <w:r>
        <w:rPr>
          <w:i/>
        </w:rPr>
        <w:fldChar w:fldCharType="separate"/>
      </w:r>
      <w:r w:rsidR="00A904B9" w:rsidRPr="00A87695">
        <w:rPr>
          <w:rStyle w:val="Hyperlink"/>
          <w:i/>
        </w:rPr>
        <w:t>Lands Act</w:t>
      </w:r>
      <w:r w:rsidR="00592505" w:rsidRPr="00A87695">
        <w:rPr>
          <w:rStyle w:val="Hyperlink"/>
          <w:i/>
        </w:rPr>
        <w:t>, 2021</w:t>
      </w:r>
      <w:r w:rsidR="002028B0" w:rsidRPr="00A87695">
        <w:rPr>
          <w:rStyle w:val="Hyperlink"/>
        </w:rPr>
        <w:t xml:space="preserve"> </w:t>
      </w:r>
      <w:r w:rsidR="00592505" w:rsidRPr="00A87695">
        <w:rPr>
          <w:rStyle w:val="Hyperlink"/>
        </w:rPr>
        <w:t>(1964)</w:t>
      </w:r>
      <w:bookmarkEnd w:id="31"/>
      <w:r>
        <w:rPr>
          <w:i/>
        </w:rPr>
        <w:fldChar w:fldCharType="end"/>
      </w:r>
      <w:r w:rsidR="00592505">
        <w:rPr>
          <w:i/>
        </w:rPr>
        <w:t xml:space="preserve"> </w:t>
      </w:r>
      <w:r w:rsidR="002028B0">
        <w:t xml:space="preserve">(the </w:t>
      </w:r>
      <w:r w:rsidR="00A904B9" w:rsidRPr="000A6B19">
        <w:rPr>
          <w:b/>
          <w:i/>
        </w:rPr>
        <w:t>Lands Act</w:t>
      </w:r>
      <w:r w:rsidR="002028B0">
        <w:t>)</w:t>
      </w:r>
      <w:r w:rsidR="006B25AC">
        <w:t>;</w:t>
      </w:r>
      <w:r w:rsidR="002028B0">
        <w:rPr>
          <w:rStyle w:val="FootnoteReference"/>
        </w:rPr>
        <w:footnoteReference w:id="16"/>
      </w:r>
      <w:r w:rsidR="00A904B9">
        <w:t xml:space="preserve"> </w:t>
      </w:r>
    </w:p>
    <w:bookmarkStart w:id="32" w:name="_Hlk8913389"/>
    <w:p w14:paraId="1BA33D41" w14:textId="57C591D2" w:rsidR="006B25AC" w:rsidRDefault="00A87695" w:rsidP="006B25AC">
      <w:pPr>
        <w:pStyle w:val="Bullet3"/>
        <w:numPr>
          <w:ilvl w:val="2"/>
          <w:numId w:val="14"/>
        </w:numPr>
        <w:ind w:left="2149"/>
      </w:pPr>
      <w:r>
        <w:rPr>
          <w:i/>
        </w:rPr>
        <w:fldChar w:fldCharType="begin"/>
      </w:r>
      <w:r>
        <w:rPr>
          <w:i/>
        </w:rPr>
        <w:instrText xml:space="preserve"> HYPERLINK "http://www.fao.org/faolex/results/details/en/c/LEX-FAOC006227" </w:instrText>
      </w:r>
      <w:r>
        <w:rPr>
          <w:i/>
        </w:rPr>
        <w:fldChar w:fldCharType="separate"/>
      </w:r>
      <w:r w:rsidR="006B25AC" w:rsidRPr="00A87695">
        <w:rPr>
          <w:rStyle w:val="Hyperlink"/>
          <w:i/>
        </w:rPr>
        <w:t>Land Acquisition Act</w:t>
      </w:r>
      <w:r w:rsidR="00592505" w:rsidRPr="00A87695">
        <w:rPr>
          <w:rStyle w:val="Hyperlink"/>
          <w:i/>
        </w:rPr>
        <w:t>, 2034</w:t>
      </w:r>
      <w:r w:rsidR="006B25AC" w:rsidRPr="00A87695">
        <w:rPr>
          <w:rStyle w:val="Hyperlink"/>
          <w:i/>
        </w:rPr>
        <w:t xml:space="preserve"> </w:t>
      </w:r>
      <w:r w:rsidR="00592505" w:rsidRPr="00A87695">
        <w:rPr>
          <w:rStyle w:val="Hyperlink"/>
        </w:rPr>
        <w:t>(</w:t>
      </w:r>
      <w:r w:rsidR="006B25AC" w:rsidRPr="00A87695">
        <w:rPr>
          <w:rStyle w:val="Hyperlink"/>
        </w:rPr>
        <w:t>1977</w:t>
      </w:r>
      <w:r w:rsidR="00592505" w:rsidRPr="00A87695">
        <w:rPr>
          <w:rStyle w:val="Hyperlink"/>
        </w:rPr>
        <w:t>)</w:t>
      </w:r>
      <w:bookmarkEnd w:id="32"/>
      <w:r>
        <w:rPr>
          <w:i/>
        </w:rPr>
        <w:fldChar w:fldCharType="end"/>
      </w:r>
      <w:r w:rsidR="006B25AC">
        <w:t xml:space="preserve"> (the </w:t>
      </w:r>
      <w:r w:rsidR="006B25AC">
        <w:rPr>
          <w:b/>
          <w:i/>
        </w:rPr>
        <w:t>Land Acquisition Act</w:t>
      </w:r>
      <w:r w:rsidR="006B25AC">
        <w:t>);</w:t>
      </w:r>
      <w:r w:rsidR="006B25AC">
        <w:rPr>
          <w:rStyle w:val="FootnoteReference"/>
        </w:rPr>
        <w:footnoteReference w:id="17"/>
      </w:r>
    </w:p>
    <w:bookmarkStart w:id="33" w:name="_Hlk8913394"/>
    <w:p w14:paraId="60719657" w14:textId="76D12F1D" w:rsidR="00757B27" w:rsidRDefault="00A87695">
      <w:pPr>
        <w:pStyle w:val="Bullet3"/>
        <w:numPr>
          <w:ilvl w:val="2"/>
          <w:numId w:val="14"/>
        </w:numPr>
        <w:ind w:left="2149"/>
      </w:pPr>
      <w:r>
        <w:rPr>
          <w:i/>
        </w:rPr>
        <w:fldChar w:fldCharType="begin"/>
      </w:r>
      <w:r>
        <w:rPr>
          <w:i/>
        </w:rPr>
        <w:instrText xml:space="preserve"> HYPERLINK "http://www.fao.org/faolex/results/details/en/c/LEX-FAOC107986" </w:instrText>
      </w:r>
      <w:r>
        <w:rPr>
          <w:i/>
        </w:rPr>
        <w:fldChar w:fldCharType="separate"/>
      </w:r>
      <w:r w:rsidR="00E75B59" w:rsidRPr="00A87695">
        <w:rPr>
          <w:rStyle w:val="Hyperlink"/>
          <w:i/>
        </w:rPr>
        <w:t xml:space="preserve">Land </w:t>
      </w:r>
      <w:r w:rsidR="00757B27" w:rsidRPr="00A87695">
        <w:rPr>
          <w:rStyle w:val="Hyperlink"/>
          <w:i/>
        </w:rPr>
        <w:t xml:space="preserve">Revenue </w:t>
      </w:r>
      <w:r w:rsidR="00E75B59" w:rsidRPr="00A87695">
        <w:rPr>
          <w:rStyle w:val="Hyperlink"/>
          <w:i/>
        </w:rPr>
        <w:t>Act</w:t>
      </w:r>
      <w:r w:rsidR="00592505" w:rsidRPr="00A87695">
        <w:rPr>
          <w:rStyle w:val="Hyperlink"/>
          <w:i/>
        </w:rPr>
        <w:t>, 2034</w:t>
      </w:r>
      <w:r w:rsidR="00E75B59" w:rsidRPr="00A87695">
        <w:rPr>
          <w:rStyle w:val="Hyperlink"/>
          <w:i/>
        </w:rPr>
        <w:t xml:space="preserve"> </w:t>
      </w:r>
      <w:r w:rsidR="00592505" w:rsidRPr="00A87695">
        <w:rPr>
          <w:rStyle w:val="Hyperlink"/>
        </w:rPr>
        <w:t>(</w:t>
      </w:r>
      <w:r w:rsidR="00757B27" w:rsidRPr="00A87695">
        <w:rPr>
          <w:rStyle w:val="Hyperlink"/>
        </w:rPr>
        <w:t>1978</w:t>
      </w:r>
      <w:r w:rsidR="00592505" w:rsidRPr="00A87695">
        <w:rPr>
          <w:rStyle w:val="Hyperlink"/>
        </w:rPr>
        <w:t>)</w:t>
      </w:r>
      <w:bookmarkEnd w:id="33"/>
      <w:r>
        <w:rPr>
          <w:i/>
        </w:rPr>
        <w:fldChar w:fldCharType="end"/>
      </w:r>
      <w:r w:rsidR="00757B27">
        <w:t xml:space="preserve"> </w:t>
      </w:r>
      <w:r w:rsidR="002F3169">
        <w:t xml:space="preserve">(the </w:t>
      </w:r>
      <w:r w:rsidR="002F3169" w:rsidRPr="000A6B19">
        <w:rPr>
          <w:b/>
          <w:i/>
        </w:rPr>
        <w:t xml:space="preserve">Land </w:t>
      </w:r>
      <w:r w:rsidR="00757B27">
        <w:rPr>
          <w:b/>
          <w:i/>
        </w:rPr>
        <w:t>Revenue</w:t>
      </w:r>
      <w:r w:rsidR="00757B27" w:rsidRPr="000A6B19">
        <w:rPr>
          <w:b/>
          <w:i/>
        </w:rPr>
        <w:t xml:space="preserve"> </w:t>
      </w:r>
      <w:r w:rsidR="002F3169" w:rsidRPr="000A6B19">
        <w:rPr>
          <w:b/>
          <w:i/>
        </w:rPr>
        <w:t>Act</w:t>
      </w:r>
      <w:r w:rsidR="002F3169">
        <w:t>)</w:t>
      </w:r>
      <w:r w:rsidR="008F7D20">
        <w:t>;</w:t>
      </w:r>
      <w:r w:rsidR="002028B0">
        <w:rPr>
          <w:rStyle w:val="FootnoteReference"/>
        </w:rPr>
        <w:footnoteReference w:id="18"/>
      </w:r>
      <w:r w:rsidR="008C587D">
        <w:t xml:space="preserve"> and</w:t>
      </w:r>
    </w:p>
    <w:p w14:paraId="3D08577D" w14:textId="1298D208" w:rsidR="004F69B8" w:rsidRDefault="00E75B59" w:rsidP="00FD7306">
      <w:pPr>
        <w:pStyle w:val="Bullet3"/>
        <w:ind w:left="2148"/>
      </w:pPr>
      <w:bookmarkStart w:id="34" w:name="_Hlk8913422"/>
      <w:r w:rsidRPr="0050537A">
        <w:rPr>
          <w:i/>
        </w:rPr>
        <w:t>Local Govern</w:t>
      </w:r>
      <w:r w:rsidR="00A375C9">
        <w:rPr>
          <w:i/>
        </w:rPr>
        <w:t>ment</w:t>
      </w:r>
      <w:r w:rsidRPr="0050537A">
        <w:rPr>
          <w:i/>
        </w:rPr>
        <w:t xml:space="preserve"> </w:t>
      </w:r>
      <w:r w:rsidR="00A375C9">
        <w:rPr>
          <w:i/>
        </w:rPr>
        <w:t xml:space="preserve">Operation </w:t>
      </w:r>
      <w:r w:rsidRPr="0050537A">
        <w:rPr>
          <w:i/>
        </w:rPr>
        <w:t>Act</w:t>
      </w:r>
      <w:r w:rsidR="00592505">
        <w:rPr>
          <w:i/>
        </w:rPr>
        <w:t>,</w:t>
      </w:r>
      <w:r w:rsidRPr="0050537A">
        <w:rPr>
          <w:i/>
        </w:rPr>
        <w:t xml:space="preserve"> </w:t>
      </w:r>
      <w:r w:rsidR="00592505">
        <w:rPr>
          <w:i/>
        </w:rPr>
        <w:t xml:space="preserve">2074 </w:t>
      </w:r>
      <w:r w:rsidR="00592505" w:rsidRPr="00FD7306">
        <w:t>(</w:t>
      </w:r>
      <w:r w:rsidR="00A375C9" w:rsidRPr="00FD7306">
        <w:t>2017</w:t>
      </w:r>
      <w:r w:rsidR="00592505" w:rsidRPr="00FD7306">
        <w:t>)</w:t>
      </w:r>
      <w:bookmarkEnd w:id="34"/>
      <w:r w:rsidR="00592505">
        <w:rPr>
          <w:i/>
        </w:rPr>
        <w:t xml:space="preserve"> </w:t>
      </w:r>
      <w:r w:rsidR="00592505">
        <w:t xml:space="preserve">(the </w:t>
      </w:r>
      <w:r w:rsidR="00592505">
        <w:rPr>
          <w:b/>
          <w:i/>
        </w:rPr>
        <w:t>Local Government Act</w:t>
      </w:r>
      <w:r w:rsidR="00592505">
        <w:t>)</w:t>
      </w:r>
      <w:r w:rsidR="004F69B8">
        <w:t>.</w:t>
      </w:r>
      <w:r w:rsidR="00227CD7">
        <w:rPr>
          <w:rStyle w:val="FootnoteReference"/>
        </w:rPr>
        <w:footnoteReference w:id="19"/>
      </w:r>
      <w:r w:rsidR="00E44C01">
        <w:t xml:space="preserve"> </w:t>
      </w:r>
    </w:p>
    <w:p w14:paraId="2418860B" w14:textId="77777777" w:rsidR="002D47F2" w:rsidRPr="008F7D20" w:rsidRDefault="002D47F2" w:rsidP="00E763BD">
      <w:pPr>
        <w:pStyle w:val="AllensHeading3"/>
        <w:tabs>
          <w:tab w:val="clear" w:pos="1418"/>
          <w:tab w:val="num" w:pos="1440"/>
        </w:tabs>
        <w:ind w:left="1440"/>
        <w:rPr>
          <w:b/>
        </w:rPr>
      </w:pPr>
      <w:bookmarkStart w:id="35" w:name="_Ref8811916"/>
      <w:r w:rsidRPr="008F7D20">
        <w:rPr>
          <w:b/>
        </w:rPr>
        <w:t>What types of tenure exist?</w:t>
      </w:r>
      <w:bookmarkEnd w:id="35"/>
    </w:p>
    <w:p w14:paraId="5BDB1329" w14:textId="77777777" w:rsidR="00E75B59" w:rsidRPr="00113B90" w:rsidRDefault="00113B90" w:rsidP="00E763BD">
      <w:pPr>
        <w:pStyle w:val="NormalIndent"/>
        <w:ind w:left="1440"/>
      </w:pPr>
      <w:r w:rsidRPr="00113B90">
        <w:t>The following types of tenure exist in Nepal:</w:t>
      </w:r>
    </w:p>
    <w:p w14:paraId="7E7AEA73" w14:textId="77777777" w:rsidR="00E75B59" w:rsidRPr="00E75B59" w:rsidRDefault="00E75B59" w:rsidP="00E763BD">
      <w:pPr>
        <w:pStyle w:val="NormalIndent"/>
        <w:numPr>
          <w:ilvl w:val="3"/>
          <w:numId w:val="1"/>
        </w:numPr>
        <w:tabs>
          <w:tab w:val="clear" w:pos="2126"/>
          <w:tab w:val="num" w:pos="2148"/>
        </w:tabs>
        <w:ind w:left="2148"/>
      </w:pPr>
      <w:bookmarkStart w:id="36" w:name="Ownership"/>
      <w:r w:rsidRPr="00E75B59">
        <w:t>Private land ownership</w:t>
      </w:r>
    </w:p>
    <w:bookmarkEnd w:id="36"/>
    <w:p w14:paraId="4C8146D2" w14:textId="77777777" w:rsidR="00E75B59" w:rsidRPr="00E75B59" w:rsidRDefault="00E75B59" w:rsidP="00E763BD">
      <w:pPr>
        <w:pStyle w:val="NormalIndent"/>
        <w:numPr>
          <w:ilvl w:val="4"/>
          <w:numId w:val="1"/>
        </w:numPr>
        <w:tabs>
          <w:tab w:val="clear" w:pos="2835"/>
          <w:tab w:val="num" w:pos="2857"/>
        </w:tabs>
        <w:ind w:left="2857"/>
      </w:pPr>
      <w:r w:rsidRPr="00E75B59">
        <w:t>What is it?</w:t>
      </w:r>
    </w:p>
    <w:p w14:paraId="1686C8AC" w14:textId="1A5CFBF2" w:rsidR="00D94E3A" w:rsidRDefault="00D94E3A" w:rsidP="00E763BD">
      <w:pPr>
        <w:pStyle w:val="NormalIndent"/>
        <w:ind w:left="2857"/>
      </w:pPr>
      <w:r>
        <w:t>Private land ownership is an absolute form of proprietary interest, and is equivalent to freehold title.</w:t>
      </w:r>
      <w:r w:rsidR="00F732A5">
        <w:rPr>
          <w:rStyle w:val="FootnoteReference"/>
        </w:rPr>
        <w:footnoteReference w:id="20"/>
      </w:r>
      <w:r>
        <w:t xml:space="preserve"> Private land comprises about 27% of land in Nepal</w:t>
      </w:r>
      <w:r w:rsidR="005D6A03">
        <w:t>.</w:t>
      </w:r>
      <w:r w:rsidRPr="00E75B59">
        <w:rPr>
          <w:vertAlign w:val="superscript"/>
        </w:rPr>
        <w:footnoteReference w:id="21"/>
      </w:r>
      <w:r>
        <w:t xml:space="preserve"> </w:t>
      </w:r>
    </w:p>
    <w:p w14:paraId="4BCD34EB" w14:textId="77777777" w:rsidR="00E75B59" w:rsidRPr="00E75B59" w:rsidRDefault="00E75B59" w:rsidP="00E763BD">
      <w:pPr>
        <w:pStyle w:val="NormalIndent"/>
        <w:numPr>
          <w:ilvl w:val="4"/>
          <w:numId w:val="1"/>
        </w:numPr>
        <w:tabs>
          <w:tab w:val="clear" w:pos="2835"/>
          <w:tab w:val="num" w:pos="2857"/>
        </w:tabs>
        <w:ind w:left="2857"/>
      </w:pPr>
      <w:r w:rsidRPr="00E75B59">
        <w:t>Who can own land?</w:t>
      </w:r>
    </w:p>
    <w:p w14:paraId="1A73EB52" w14:textId="77777777" w:rsidR="00D94E3A" w:rsidRDefault="007F79C9" w:rsidP="00E763BD">
      <w:pPr>
        <w:pStyle w:val="NormalIndent"/>
        <w:ind w:left="2857"/>
      </w:pPr>
      <w:r>
        <w:t xml:space="preserve">As a </w:t>
      </w:r>
      <w:r w:rsidR="00227CD7">
        <w:t>general proposition, only Nepalese</w:t>
      </w:r>
      <w:r>
        <w:t xml:space="preserve"> citizens can own land in Nepal.</w:t>
      </w:r>
      <w:r w:rsidR="00B82A97">
        <w:rPr>
          <w:rStyle w:val="FootnoteReference"/>
        </w:rPr>
        <w:footnoteReference w:id="22"/>
      </w:r>
      <w:r>
        <w:t xml:space="preserve"> Citizenship and land ownership is intimately linked in this way, and there are various issues with citizenship conferral and documentation in the country.</w:t>
      </w:r>
      <w:r>
        <w:rPr>
          <w:rStyle w:val="FootnoteReference"/>
        </w:rPr>
        <w:footnoteReference w:id="23"/>
      </w:r>
      <w:r>
        <w:t xml:space="preserve"> Foreign owned companies can also own land in Nepal.</w:t>
      </w:r>
      <w:r>
        <w:rPr>
          <w:rStyle w:val="FootnoteReference"/>
        </w:rPr>
        <w:footnoteReference w:id="24"/>
      </w:r>
    </w:p>
    <w:p w14:paraId="6C177B5C" w14:textId="77777777" w:rsidR="00E75B59" w:rsidRPr="00E75B59" w:rsidRDefault="00E75B59" w:rsidP="00E763BD">
      <w:pPr>
        <w:pStyle w:val="NormalIndent"/>
        <w:numPr>
          <w:ilvl w:val="4"/>
          <w:numId w:val="1"/>
        </w:numPr>
        <w:tabs>
          <w:tab w:val="clear" w:pos="2835"/>
          <w:tab w:val="num" w:pos="2857"/>
        </w:tabs>
        <w:ind w:left="2857"/>
      </w:pPr>
      <w:r w:rsidRPr="00E75B59">
        <w:t>How does it work?</w:t>
      </w:r>
    </w:p>
    <w:p w14:paraId="5BE458B4" w14:textId="08698A38" w:rsidR="005D6A03" w:rsidRDefault="00A06A0E" w:rsidP="00E763BD">
      <w:pPr>
        <w:pStyle w:val="NormalIndent"/>
        <w:ind w:left="2857"/>
      </w:pPr>
      <w:r>
        <w:t>P</w:t>
      </w:r>
      <w:r w:rsidR="005D6A03">
        <w:t xml:space="preserve">rivately owned </w:t>
      </w:r>
      <w:r>
        <w:t xml:space="preserve">land </w:t>
      </w:r>
      <w:r w:rsidR="005D6A03">
        <w:t xml:space="preserve">can be </w:t>
      </w:r>
      <w:r>
        <w:t>acquire</w:t>
      </w:r>
      <w:r w:rsidR="00227CD7">
        <w:t>d</w:t>
      </w:r>
      <w:r>
        <w:t xml:space="preserve"> by purchase</w:t>
      </w:r>
      <w:r w:rsidR="005D6A03">
        <w:t xml:space="preserve">, </w:t>
      </w:r>
      <w:r>
        <w:t>inheritance</w:t>
      </w:r>
      <w:r w:rsidR="005D6A03">
        <w:t xml:space="preserve">, or </w:t>
      </w:r>
      <w:r>
        <w:t xml:space="preserve">allocation </w:t>
      </w:r>
      <w:r w:rsidR="005D6A03">
        <w:t>by Government,</w:t>
      </w:r>
      <w:r w:rsidR="005D6A03" w:rsidRPr="00E75B59">
        <w:rPr>
          <w:vertAlign w:val="superscript"/>
        </w:rPr>
        <w:footnoteReference w:id="25"/>
      </w:r>
      <w:r w:rsidR="005D6A03">
        <w:t xml:space="preserve"> </w:t>
      </w:r>
      <w:r>
        <w:t>provided that the land recipient is a citizen of Nepal.</w:t>
      </w:r>
      <w:r w:rsidR="00B84697">
        <w:t xml:space="preserve"> </w:t>
      </w:r>
      <w:r w:rsidR="00307D2C">
        <w:t>T</w:t>
      </w:r>
      <w:r>
        <w:t xml:space="preserve">his </w:t>
      </w:r>
      <w:r w:rsidR="00307D2C">
        <w:t xml:space="preserve">land </w:t>
      </w:r>
      <w:r>
        <w:t xml:space="preserve">is subject to </w:t>
      </w:r>
      <w:r w:rsidR="00A375C9">
        <w:t>payment of revenue</w:t>
      </w:r>
      <w:r>
        <w:t>,</w:t>
      </w:r>
      <w:r w:rsidR="004B6CF4">
        <w:rPr>
          <w:rStyle w:val="FootnoteReference"/>
        </w:rPr>
        <w:footnoteReference w:id="26"/>
      </w:r>
      <w:r>
        <w:t xml:space="preserve"> which generates a substantial amount of Government revenue.</w:t>
      </w:r>
      <w:r w:rsidR="00EB5474">
        <w:rPr>
          <w:rStyle w:val="FootnoteReference"/>
        </w:rPr>
        <w:footnoteReference w:id="27"/>
      </w:r>
    </w:p>
    <w:p w14:paraId="622BDAF6" w14:textId="73B4AE44" w:rsidR="00A06A0E" w:rsidRDefault="004F69B8" w:rsidP="00E763BD">
      <w:pPr>
        <w:pStyle w:val="NormalIndent"/>
        <w:ind w:left="2857"/>
      </w:pPr>
      <w:r>
        <w:t xml:space="preserve">Further, the </w:t>
      </w:r>
      <w:r w:rsidR="00A904B9">
        <w:t>Lands Act</w:t>
      </w:r>
      <w:r>
        <w:t xml:space="preserve"> </w:t>
      </w:r>
      <w:r w:rsidR="00A06A0E">
        <w:t xml:space="preserve">imposes land ceilings on private owners, restricting any family to 6.7 ha in </w:t>
      </w:r>
      <w:r w:rsidR="00A06A0E" w:rsidRPr="00E75B59">
        <w:t xml:space="preserve">Terai, 1.21 </w:t>
      </w:r>
      <w:r w:rsidR="00A06A0E">
        <w:t xml:space="preserve">ha </w:t>
      </w:r>
      <w:r w:rsidR="00A06A0E" w:rsidRPr="00E75B59">
        <w:t>in Kathmandu Valley and 3.5 ha in all other hilly areas.</w:t>
      </w:r>
      <w:r w:rsidR="004B6CF4">
        <w:rPr>
          <w:rStyle w:val="FootnoteReference"/>
        </w:rPr>
        <w:footnoteReference w:id="28"/>
      </w:r>
      <w:r w:rsidR="00A06A0E">
        <w:t xml:space="preserve"> </w:t>
      </w:r>
    </w:p>
    <w:p w14:paraId="477C0CF2" w14:textId="052B4AE4" w:rsidR="00B84697" w:rsidRDefault="00B84697" w:rsidP="00E763BD">
      <w:pPr>
        <w:pStyle w:val="NormalIndent"/>
        <w:ind w:left="2857"/>
      </w:pPr>
      <w:r>
        <w:t xml:space="preserve">A substantial amount of privately owned land is leased by its owners to tenants. </w:t>
      </w:r>
      <w:r w:rsidR="00482154">
        <w:t xml:space="preserve">The </w:t>
      </w:r>
      <w:bookmarkStart w:id="38" w:name="_Hlk8913441"/>
      <w:r w:rsidR="00482154" w:rsidRPr="00C51028">
        <w:rPr>
          <w:i/>
        </w:rPr>
        <w:t>Ownership of Joint Housing Act</w:t>
      </w:r>
      <w:r w:rsidR="00183327">
        <w:rPr>
          <w:i/>
        </w:rPr>
        <w:t>, 2054</w:t>
      </w:r>
      <w:r w:rsidR="004F69B8" w:rsidRPr="00C51028">
        <w:rPr>
          <w:i/>
        </w:rPr>
        <w:t xml:space="preserve"> </w:t>
      </w:r>
      <w:r w:rsidR="00183327" w:rsidRPr="00FD7306">
        <w:t>(</w:t>
      </w:r>
      <w:r w:rsidR="004F69B8" w:rsidRPr="00FD7306">
        <w:t>1997</w:t>
      </w:r>
      <w:r w:rsidR="00183327" w:rsidRPr="00FD7306">
        <w:t>)</w:t>
      </w:r>
      <w:bookmarkEnd w:id="38"/>
      <w:r w:rsidR="00482154">
        <w:t xml:space="preserve"> provides that leasehold arrangements must be documented in written contracts containing certain minimum information.</w:t>
      </w:r>
      <w:r w:rsidR="004B6CF4">
        <w:rPr>
          <w:rStyle w:val="FootnoteReference"/>
        </w:rPr>
        <w:footnoteReference w:id="29"/>
      </w:r>
      <w:r w:rsidR="00482154">
        <w:t xml:space="preserve"> </w:t>
      </w:r>
      <w:r w:rsidR="00A375C9">
        <w:t xml:space="preserve">The </w:t>
      </w:r>
      <w:bookmarkStart w:id="39" w:name="_Hlk8913447"/>
      <w:r w:rsidR="00A375C9" w:rsidRPr="00FD7306">
        <w:rPr>
          <w:i/>
        </w:rPr>
        <w:t>Muluki Civil (Code) Act</w:t>
      </w:r>
      <w:r w:rsidR="00A375C9">
        <w:t xml:space="preserve"> </w:t>
      </w:r>
      <w:bookmarkEnd w:id="39"/>
      <w:r w:rsidR="00A375C9">
        <w:t>(</w:t>
      </w:r>
      <w:r w:rsidR="00A375C9">
        <w:rPr>
          <w:i/>
        </w:rPr>
        <w:t xml:space="preserve">the </w:t>
      </w:r>
      <w:r w:rsidR="00A375C9" w:rsidRPr="00C00062">
        <w:rPr>
          <w:b/>
          <w:i/>
        </w:rPr>
        <w:t>Civil Code</w:t>
      </w:r>
      <w:r w:rsidR="00A375C9">
        <w:t xml:space="preserve">) also requires that the lease agreements must be registered </w:t>
      </w:r>
      <w:r w:rsidR="008C587D">
        <w:t xml:space="preserve">with the relevant </w:t>
      </w:r>
      <w:r w:rsidR="00A375C9">
        <w:t>authority.</w:t>
      </w:r>
      <w:r w:rsidR="00A375C9">
        <w:rPr>
          <w:rStyle w:val="FootnoteReference"/>
        </w:rPr>
        <w:footnoteReference w:id="30"/>
      </w:r>
      <w:r w:rsidR="00A375C9">
        <w:t xml:space="preserve"> </w:t>
      </w:r>
      <w:r w:rsidR="00482154">
        <w:t xml:space="preserve">In addition, the </w:t>
      </w:r>
      <w:r w:rsidR="00A375C9" w:rsidRPr="00FD7306">
        <w:t>Civil Code</w:t>
      </w:r>
      <w:r w:rsidR="004F69B8">
        <w:t xml:space="preserve"> </w:t>
      </w:r>
      <w:r w:rsidR="00482154">
        <w:t>provides that, in the case of fundamental change, a tenant may seek restitution of any advance payments made and the cessation of due payments.</w:t>
      </w:r>
      <w:r w:rsidR="004B6CF4">
        <w:rPr>
          <w:rStyle w:val="FootnoteReference"/>
        </w:rPr>
        <w:footnoteReference w:id="31"/>
      </w:r>
      <w:r w:rsidR="00E44313">
        <w:t xml:space="preserve"> </w:t>
      </w:r>
      <w:r w:rsidR="00A128FE">
        <w:t>More generally, the Lands Act sets out provisions relating to land tenancy, including the rights and obligations of tenants.</w:t>
      </w:r>
      <w:r w:rsidR="00A128FE">
        <w:rPr>
          <w:rStyle w:val="FootnoteReference"/>
        </w:rPr>
        <w:footnoteReference w:id="32"/>
      </w:r>
      <w:r w:rsidR="00A128FE">
        <w:t xml:space="preserve"> </w:t>
      </w:r>
      <w:r w:rsidR="00482154">
        <w:t xml:space="preserve">These legal protections notwithstanding, a substantial amount of leased land in Nepal is informal and undocumented. </w:t>
      </w:r>
    </w:p>
    <w:p w14:paraId="7D098A3C" w14:textId="77777777" w:rsidR="00E75B59" w:rsidRPr="00E75B59" w:rsidRDefault="00482154" w:rsidP="00E763BD">
      <w:pPr>
        <w:pStyle w:val="NormalIndent"/>
        <w:ind w:left="2857"/>
      </w:pPr>
      <w:r>
        <w:t>The following examples of leasehold arrangements prevail in Nepal:</w:t>
      </w:r>
    </w:p>
    <w:p w14:paraId="72091655" w14:textId="77777777" w:rsidR="00E75B59" w:rsidRPr="00E75B59" w:rsidRDefault="00E75B59" w:rsidP="00E763BD">
      <w:pPr>
        <w:pStyle w:val="AllensHeading6"/>
        <w:tabs>
          <w:tab w:val="clear" w:pos="3544"/>
          <w:tab w:val="num" w:pos="3566"/>
        </w:tabs>
        <w:ind w:left="3566"/>
      </w:pPr>
      <w:r w:rsidRPr="00E75B59">
        <w:t xml:space="preserve">Sharecropping </w:t>
      </w:r>
    </w:p>
    <w:p w14:paraId="61AAA281" w14:textId="0657B8AD" w:rsidR="00E75B59" w:rsidRPr="00E75B59" w:rsidRDefault="00E75B59" w:rsidP="00E763BD">
      <w:pPr>
        <w:pStyle w:val="NormalIndent"/>
        <w:ind w:left="3566"/>
      </w:pPr>
      <w:r w:rsidRPr="00E75B59">
        <w:t xml:space="preserve">Sharecropping </w:t>
      </w:r>
      <w:r w:rsidR="00BC2AC9">
        <w:t>is where farmland is leased, and 50% of the tenants harvest is provided to the landlord as consideration for use of the land.</w:t>
      </w:r>
      <w:r w:rsidRPr="00E75B59">
        <w:rPr>
          <w:vertAlign w:val="superscript"/>
        </w:rPr>
        <w:footnoteReference w:id="33"/>
      </w:r>
    </w:p>
    <w:p w14:paraId="6A2910CB" w14:textId="77777777" w:rsidR="00E75B59" w:rsidRPr="00E75B59" w:rsidRDefault="00E75B59" w:rsidP="00E763BD">
      <w:pPr>
        <w:pStyle w:val="AllensHeading6"/>
        <w:tabs>
          <w:tab w:val="clear" w:pos="3544"/>
          <w:tab w:val="num" w:pos="3566"/>
        </w:tabs>
        <w:ind w:left="3566"/>
      </w:pPr>
      <w:r w:rsidRPr="00E75B59">
        <w:t xml:space="preserve">Rent for </w:t>
      </w:r>
      <w:r w:rsidR="00BC2AC9">
        <w:t>s</w:t>
      </w:r>
      <w:r w:rsidRPr="00E75B59">
        <w:t>ervice</w:t>
      </w:r>
    </w:p>
    <w:p w14:paraId="44762518" w14:textId="77777777" w:rsidR="00E75B59" w:rsidRPr="00E75B59" w:rsidRDefault="00E75B59" w:rsidP="00E763BD">
      <w:pPr>
        <w:pStyle w:val="NormalIndent"/>
        <w:ind w:left="3566"/>
      </w:pPr>
      <w:r w:rsidRPr="00E75B59">
        <w:t xml:space="preserve">This </w:t>
      </w:r>
      <w:r w:rsidR="00BC2AC9">
        <w:t>is where a tenant obtains use of land by assuming a debt to the landlord. For the duration of the debt, the tenant is obliged to work productively on the landlord's land.</w:t>
      </w:r>
      <w:r w:rsidRPr="00E75B59">
        <w:rPr>
          <w:vertAlign w:val="superscript"/>
        </w:rPr>
        <w:footnoteReference w:id="34"/>
      </w:r>
    </w:p>
    <w:p w14:paraId="0379F266" w14:textId="77777777" w:rsidR="00E75B59" w:rsidRPr="00E75B59" w:rsidRDefault="00BC2AC9" w:rsidP="00E763BD">
      <w:pPr>
        <w:pStyle w:val="AllensHeading6"/>
        <w:tabs>
          <w:tab w:val="clear" w:pos="3544"/>
          <w:tab w:val="num" w:pos="3566"/>
        </w:tabs>
        <w:ind w:left="3566"/>
      </w:pPr>
      <w:r>
        <w:t>Fixed product/f</w:t>
      </w:r>
      <w:r w:rsidR="00E75B59" w:rsidRPr="00E75B59">
        <w:t>ixed rent tenancy</w:t>
      </w:r>
    </w:p>
    <w:p w14:paraId="7854DD03" w14:textId="77777777" w:rsidR="00E75B59" w:rsidRPr="00E75B59" w:rsidRDefault="00E75B59" w:rsidP="00E763BD">
      <w:pPr>
        <w:pStyle w:val="NormalIndent"/>
        <w:ind w:left="3566"/>
      </w:pPr>
      <w:r w:rsidRPr="00E75B59">
        <w:t xml:space="preserve">This </w:t>
      </w:r>
      <w:r w:rsidR="00BC2AC9">
        <w:t>kind of tenancy involves a tenant providing their landlord a fixed amount of a harvest (product) or money (rent) as consideration for use of the land</w:t>
      </w:r>
      <w:r w:rsidRPr="00E75B59">
        <w:t xml:space="preserve">. </w:t>
      </w:r>
      <w:r w:rsidR="00BC2AC9">
        <w:t>In fixed product arrangements, tenants assume a risk that their harvest will not meet the required rent for use of the land.</w:t>
      </w:r>
      <w:r w:rsidRPr="00E75B59">
        <w:rPr>
          <w:vertAlign w:val="superscript"/>
        </w:rPr>
        <w:footnoteReference w:id="35"/>
      </w:r>
    </w:p>
    <w:p w14:paraId="6AAFB180" w14:textId="77777777" w:rsidR="00E75B59" w:rsidRPr="00E75B59" w:rsidRDefault="00E75B59" w:rsidP="00E763BD">
      <w:pPr>
        <w:pStyle w:val="AllensHeading6"/>
        <w:tabs>
          <w:tab w:val="clear" w:pos="3544"/>
          <w:tab w:val="num" w:pos="3566"/>
        </w:tabs>
        <w:ind w:left="3566"/>
      </w:pPr>
      <w:r w:rsidRPr="00E75B59">
        <w:t>Rent for mortgage</w:t>
      </w:r>
    </w:p>
    <w:p w14:paraId="71396D9D" w14:textId="77777777" w:rsidR="00E75B59" w:rsidRPr="00E75B59" w:rsidRDefault="00A76D25" w:rsidP="00E763BD">
      <w:pPr>
        <w:pStyle w:val="NormalIndent"/>
        <w:ind w:left="3566"/>
      </w:pPr>
      <w:r w:rsidRPr="00C03DE1">
        <w:t xml:space="preserve">This is where tenant cultivators </w:t>
      </w:r>
      <w:r w:rsidR="00E75B59" w:rsidRPr="00C03DE1">
        <w:t xml:space="preserve">use </w:t>
      </w:r>
      <w:r w:rsidR="00C03DE1">
        <w:t xml:space="preserve">their </w:t>
      </w:r>
      <w:r w:rsidR="00E75B59" w:rsidRPr="00C03DE1">
        <w:t xml:space="preserve">land </w:t>
      </w:r>
      <w:r w:rsidR="00C03DE1">
        <w:t xml:space="preserve">rights </w:t>
      </w:r>
      <w:r w:rsidR="00E75B59" w:rsidRPr="00C03DE1">
        <w:t xml:space="preserve">as collateral against a </w:t>
      </w:r>
      <w:r w:rsidR="00C03DE1">
        <w:t xml:space="preserve">loan they take out with </w:t>
      </w:r>
      <w:r w:rsidRPr="00C03DE1">
        <w:t>the landlord</w:t>
      </w:r>
      <w:r w:rsidR="00C03DE1">
        <w:t xml:space="preserve"> (e</w:t>
      </w:r>
      <w:r w:rsidR="00E865ED">
        <w:t>.</w:t>
      </w:r>
      <w:r w:rsidR="00C03DE1">
        <w:t>g</w:t>
      </w:r>
      <w:r w:rsidR="00E865ED">
        <w:t>.</w:t>
      </w:r>
      <w:r w:rsidR="00C03DE1">
        <w:t xml:space="preserve"> for seed and other production inputs, for </w:t>
      </w:r>
      <w:r w:rsidR="00495F50">
        <w:t xml:space="preserve">funding </w:t>
      </w:r>
      <w:r w:rsidR="00C03DE1">
        <w:t xml:space="preserve">cultural events or for </w:t>
      </w:r>
      <w:r w:rsidR="00495F50">
        <w:t xml:space="preserve">medical </w:t>
      </w:r>
      <w:r w:rsidR="00C03DE1">
        <w:t>emergencies)</w:t>
      </w:r>
      <w:r w:rsidR="00E75B59" w:rsidRPr="00C03DE1">
        <w:t xml:space="preserve">. </w:t>
      </w:r>
      <w:r w:rsidRPr="00C03DE1">
        <w:t>In doing so, the tenant assumes an obligation to repay the mortgage to the landlord with interest</w:t>
      </w:r>
      <w:r w:rsidR="00495F50">
        <w:t xml:space="preserve"> in lieu of rent</w:t>
      </w:r>
      <w:r>
        <w:t>.</w:t>
      </w:r>
      <w:r w:rsidR="00E75B59" w:rsidRPr="00E75B59">
        <w:rPr>
          <w:vertAlign w:val="superscript"/>
        </w:rPr>
        <w:footnoteReference w:id="36"/>
      </w:r>
    </w:p>
    <w:p w14:paraId="432F1260" w14:textId="77777777" w:rsidR="00E75B59" w:rsidRPr="00E75B59" w:rsidRDefault="00A76D25" w:rsidP="00E763BD">
      <w:pPr>
        <w:pStyle w:val="NormalIndent"/>
        <w:numPr>
          <w:ilvl w:val="3"/>
          <w:numId w:val="1"/>
        </w:numPr>
        <w:tabs>
          <w:tab w:val="clear" w:pos="2126"/>
          <w:tab w:val="num" w:pos="2148"/>
        </w:tabs>
        <w:ind w:left="2148"/>
      </w:pPr>
      <w:bookmarkStart w:id="41" w:name="State_Land"/>
      <w:r>
        <w:t>State land</w:t>
      </w:r>
    </w:p>
    <w:bookmarkEnd w:id="41"/>
    <w:p w14:paraId="7FE0CDE7" w14:textId="77777777" w:rsidR="00E75B59" w:rsidRPr="00E75B59" w:rsidRDefault="00E75B59" w:rsidP="00E763BD">
      <w:pPr>
        <w:pStyle w:val="NormalIndent"/>
        <w:numPr>
          <w:ilvl w:val="4"/>
          <w:numId w:val="1"/>
        </w:numPr>
        <w:tabs>
          <w:tab w:val="clear" w:pos="2835"/>
          <w:tab w:val="num" w:pos="2857"/>
        </w:tabs>
        <w:ind w:left="2857"/>
      </w:pPr>
      <w:r w:rsidRPr="00E75B59">
        <w:t>What is it?</w:t>
      </w:r>
    </w:p>
    <w:p w14:paraId="6E481FBC" w14:textId="68E4BD01" w:rsidR="00CE2093" w:rsidRDefault="00227CD7" w:rsidP="00E763BD">
      <w:pPr>
        <w:pStyle w:val="NormalIndent"/>
        <w:ind w:left="2857"/>
      </w:pPr>
      <w:r>
        <w:t xml:space="preserve">There are two kinds of </w:t>
      </w:r>
      <w:r w:rsidR="00E75B59" w:rsidRPr="00E75B59">
        <w:t>State land</w:t>
      </w:r>
      <w:r w:rsidR="00CE2093">
        <w:t xml:space="preserve">: public land and government land. Public land </w:t>
      </w:r>
      <w:r w:rsidR="007835F3">
        <w:t>includes roads, water banks, pasture land, graveyards, monuments, temples, entertainment places and sporting places which have 'remained in use since ancient time and belong to the public not to any individual'.</w:t>
      </w:r>
      <w:r w:rsidR="007835F3">
        <w:rPr>
          <w:rStyle w:val="FootnoteReference"/>
        </w:rPr>
        <w:footnoteReference w:id="37"/>
      </w:r>
      <w:r w:rsidR="007835F3">
        <w:t xml:space="preserve"> </w:t>
      </w:r>
      <w:r w:rsidR="00CE2093">
        <w:t xml:space="preserve">Government land refers to land which is directly used or controlled by the </w:t>
      </w:r>
      <w:r>
        <w:t>G</w:t>
      </w:r>
      <w:r w:rsidR="00CE2093">
        <w:t xml:space="preserve">overnment, including </w:t>
      </w:r>
      <w:r w:rsidR="00CE2093" w:rsidRPr="00E75B59">
        <w:t>forests, lakes, rivers, canals, barren land, roads and government offices</w:t>
      </w:r>
      <w:r w:rsidR="00CE2093">
        <w:t>.</w:t>
      </w:r>
      <w:r w:rsidR="00CE2093" w:rsidRPr="00E75B59">
        <w:rPr>
          <w:vertAlign w:val="superscript"/>
        </w:rPr>
        <w:footnoteReference w:id="38"/>
      </w:r>
      <w:r w:rsidR="00CE2093">
        <w:t xml:space="preserve"> State land constitutes 73% of Nepal's national territory.</w:t>
      </w:r>
      <w:r w:rsidR="00253D5B">
        <w:rPr>
          <w:rStyle w:val="FootnoteReference"/>
        </w:rPr>
        <w:footnoteReference w:id="39"/>
      </w:r>
      <w:r w:rsidR="00CE2093">
        <w:t xml:space="preserve"> </w:t>
      </w:r>
    </w:p>
    <w:p w14:paraId="5FF66336" w14:textId="77777777" w:rsidR="00E75B59" w:rsidRPr="00E75B59" w:rsidRDefault="00E75B59" w:rsidP="00E763BD">
      <w:pPr>
        <w:pStyle w:val="NormalIndent"/>
        <w:numPr>
          <w:ilvl w:val="4"/>
          <w:numId w:val="1"/>
        </w:numPr>
        <w:tabs>
          <w:tab w:val="clear" w:pos="2835"/>
          <w:tab w:val="num" w:pos="2857"/>
        </w:tabs>
        <w:ind w:left="2857"/>
      </w:pPr>
      <w:r w:rsidRPr="00E75B59">
        <w:t>Who can own land?</w:t>
      </w:r>
    </w:p>
    <w:p w14:paraId="0A48E876" w14:textId="77777777" w:rsidR="00E75B59" w:rsidRPr="00E75B59" w:rsidRDefault="00CE2093" w:rsidP="00E763BD">
      <w:pPr>
        <w:pStyle w:val="NormalIndent"/>
        <w:ind w:left="2857"/>
      </w:pPr>
      <w:r>
        <w:t xml:space="preserve">State land is owned by the Government, though public land is maintained for the benefit of, and is used by, the public. </w:t>
      </w:r>
    </w:p>
    <w:p w14:paraId="2A0AA22D" w14:textId="77777777" w:rsidR="00E75B59" w:rsidRPr="00E75B59" w:rsidRDefault="00E75B59" w:rsidP="00E763BD">
      <w:pPr>
        <w:pStyle w:val="NormalIndent"/>
        <w:numPr>
          <w:ilvl w:val="4"/>
          <w:numId w:val="1"/>
        </w:numPr>
        <w:tabs>
          <w:tab w:val="clear" w:pos="2835"/>
          <w:tab w:val="num" w:pos="2857"/>
        </w:tabs>
        <w:ind w:left="2857"/>
      </w:pPr>
      <w:r w:rsidRPr="00E75B59">
        <w:t>How does it work?</w:t>
      </w:r>
    </w:p>
    <w:p w14:paraId="74FC71BC" w14:textId="1F80ECEE" w:rsidR="00D63E7F" w:rsidRDefault="00D63E7F" w:rsidP="00E763BD">
      <w:pPr>
        <w:pStyle w:val="NormalIndent"/>
        <w:ind w:left="2857"/>
      </w:pPr>
      <w:r>
        <w:t xml:space="preserve">Land owned by the </w:t>
      </w:r>
      <w:r w:rsidR="00E865ED">
        <w:t>S</w:t>
      </w:r>
      <w:r>
        <w:t>tate is treated in the same wa</w:t>
      </w:r>
      <w:r w:rsidR="008C587D">
        <w:t>y</w:t>
      </w:r>
      <w:r>
        <w:t xml:space="preserve"> as land owned by private persons.</w:t>
      </w:r>
      <w:r w:rsidR="00A66598">
        <w:rPr>
          <w:rStyle w:val="FootnoteReference"/>
        </w:rPr>
        <w:footnoteReference w:id="40"/>
      </w:r>
      <w:r>
        <w:t xml:space="preserve"> </w:t>
      </w:r>
    </w:p>
    <w:p w14:paraId="13A42DE3" w14:textId="09C24D56" w:rsidR="00E75B59" w:rsidRPr="00E75B59" w:rsidRDefault="00EB5474" w:rsidP="00E763BD">
      <w:pPr>
        <w:pStyle w:val="NormalIndent"/>
        <w:ind w:left="2857"/>
      </w:pPr>
      <w:r>
        <w:t>A substantial reason for the Government enjoying ownership over such a large percentage of Nepal's national territory is because of its nationalisation of forests, wastelands and pastures.</w:t>
      </w:r>
      <w:r w:rsidRPr="00E75B59">
        <w:rPr>
          <w:vertAlign w:val="superscript"/>
        </w:rPr>
        <w:footnoteReference w:id="41"/>
      </w:r>
      <w:r>
        <w:t xml:space="preserve"> </w:t>
      </w:r>
      <w:r w:rsidR="00E75B59" w:rsidRPr="00E75B59">
        <w:t xml:space="preserve">Further, the abolition of the customary system of tenure has resulted in more substantial </w:t>
      </w:r>
      <w:r w:rsidR="00AC3AC6">
        <w:t>g</w:t>
      </w:r>
      <w:r w:rsidR="00763DC3">
        <w:t>overnmental</w:t>
      </w:r>
      <w:r w:rsidR="00E75B59" w:rsidRPr="00E75B59">
        <w:t xml:space="preserve"> ownership</w:t>
      </w:r>
      <w:r w:rsidR="00763DC3">
        <w:t xml:space="preserve"> of land</w:t>
      </w:r>
      <w:r w:rsidR="00E75B59" w:rsidRPr="00E75B59">
        <w:t>.</w:t>
      </w:r>
    </w:p>
    <w:p w14:paraId="1C812938" w14:textId="77777777" w:rsidR="00E75B59" w:rsidRPr="00E75B59" w:rsidRDefault="00E75B59" w:rsidP="00E763BD">
      <w:pPr>
        <w:pStyle w:val="NormalIndent"/>
        <w:numPr>
          <w:ilvl w:val="3"/>
          <w:numId w:val="1"/>
        </w:numPr>
        <w:tabs>
          <w:tab w:val="clear" w:pos="2126"/>
          <w:tab w:val="num" w:pos="2148"/>
        </w:tabs>
        <w:ind w:left="2148"/>
      </w:pPr>
      <w:bookmarkStart w:id="43" w:name="Guthi_Land"/>
      <w:r w:rsidRPr="00E75B59">
        <w:t>Guthi land</w:t>
      </w:r>
    </w:p>
    <w:bookmarkEnd w:id="43"/>
    <w:p w14:paraId="22171553" w14:textId="77777777" w:rsidR="00E75B59" w:rsidRPr="00E75B59" w:rsidRDefault="00E75B59" w:rsidP="00E763BD">
      <w:pPr>
        <w:pStyle w:val="NormalIndent"/>
        <w:numPr>
          <w:ilvl w:val="4"/>
          <w:numId w:val="1"/>
        </w:numPr>
        <w:tabs>
          <w:tab w:val="clear" w:pos="2835"/>
          <w:tab w:val="num" w:pos="2857"/>
        </w:tabs>
        <w:ind w:left="2857"/>
      </w:pPr>
      <w:r w:rsidRPr="00E75B59">
        <w:t>What is it?</w:t>
      </w:r>
    </w:p>
    <w:p w14:paraId="6A99CBAB" w14:textId="77777777" w:rsidR="00E75B59" w:rsidRPr="00E75B59" w:rsidRDefault="00E75B59" w:rsidP="00E763BD">
      <w:pPr>
        <w:pStyle w:val="NormalIndent"/>
        <w:ind w:left="2857"/>
      </w:pPr>
      <w:r w:rsidRPr="00E75B59">
        <w:t xml:space="preserve">Guthi land </w:t>
      </w:r>
      <w:r w:rsidR="00763DC3">
        <w:t>refers to land belonging to religious bodies in Nepal, comprising temples and monasteries as well as religious schools and hospitals. Guthi land can also include farmland. About 0.03% of land in Nepal is Guthi land.</w:t>
      </w:r>
      <w:r w:rsidRPr="00E75B59">
        <w:rPr>
          <w:vertAlign w:val="superscript"/>
        </w:rPr>
        <w:footnoteReference w:id="42"/>
      </w:r>
    </w:p>
    <w:p w14:paraId="29275A01" w14:textId="77777777" w:rsidR="00E75B59" w:rsidRPr="00E75B59" w:rsidRDefault="00E75B59" w:rsidP="00E763BD">
      <w:pPr>
        <w:pStyle w:val="NormalIndent"/>
        <w:numPr>
          <w:ilvl w:val="4"/>
          <w:numId w:val="1"/>
        </w:numPr>
        <w:tabs>
          <w:tab w:val="clear" w:pos="2835"/>
          <w:tab w:val="num" w:pos="2857"/>
        </w:tabs>
        <w:ind w:left="2857"/>
      </w:pPr>
      <w:r w:rsidRPr="00E75B59">
        <w:t>Who can own land?</w:t>
      </w:r>
    </w:p>
    <w:p w14:paraId="65B4AE01" w14:textId="77777777" w:rsidR="00E75B59" w:rsidRPr="00E75B59" w:rsidRDefault="00E75B59" w:rsidP="00E763BD">
      <w:pPr>
        <w:pStyle w:val="NormalIndent"/>
        <w:ind w:left="2857"/>
      </w:pPr>
      <w:r w:rsidRPr="00E75B59">
        <w:t>Guthi land is owned by religious bodies</w:t>
      </w:r>
      <w:r w:rsidR="00763DC3">
        <w:t>.</w:t>
      </w:r>
      <w:r w:rsidRPr="00E75B59">
        <w:rPr>
          <w:vertAlign w:val="superscript"/>
        </w:rPr>
        <w:footnoteReference w:id="43"/>
      </w:r>
    </w:p>
    <w:p w14:paraId="5F844DCE" w14:textId="77777777" w:rsidR="00E75B59" w:rsidRPr="00E75B59" w:rsidRDefault="00E75B59" w:rsidP="00E763BD">
      <w:pPr>
        <w:pStyle w:val="NormalIndent"/>
        <w:numPr>
          <w:ilvl w:val="4"/>
          <w:numId w:val="1"/>
        </w:numPr>
        <w:tabs>
          <w:tab w:val="clear" w:pos="2835"/>
          <w:tab w:val="num" w:pos="2857"/>
        </w:tabs>
        <w:ind w:left="2857"/>
      </w:pPr>
      <w:r w:rsidRPr="00E75B59">
        <w:t>How does it work?</w:t>
      </w:r>
    </w:p>
    <w:p w14:paraId="71A9B1D2" w14:textId="77777777" w:rsidR="00E75B59" w:rsidRPr="00E75B59" w:rsidRDefault="00E75B59" w:rsidP="00E763BD">
      <w:pPr>
        <w:pStyle w:val="NormalIndent"/>
        <w:ind w:left="2857"/>
      </w:pPr>
      <w:r w:rsidRPr="00E75B59">
        <w:t>Guthi land is not subject to taxation</w:t>
      </w:r>
      <w:r w:rsidR="00763DC3">
        <w:t>.</w:t>
      </w:r>
      <w:r w:rsidRPr="00E75B59">
        <w:rPr>
          <w:vertAlign w:val="superscript"/>
        </w:rPr>
        <w:footnoteReference w:id="44"/>
      </w:r>
      <w:r w:rsidRPr="00E75B59">
        <w:t xml:space="preserve"> </w:t>
      </w:r>
    </w:p>
    <w:p w14:paraId="1617CB44" w14:textId="77777777" w:rsidR="002D47F2" w:rsidRPr="008462E6" w:rsidRDefault="002D47F2" w:rsidP="00E763BD">
      <w:pPr>
        <w:pStyle w:val="AllensHeading3"/>
        <w:tabs>
          <w:tab w:val="clear" w:pos="1418"/>
          <w:tab w:val="num" w:pos="1440"/>
        </w:tabs>
        <w:ind w:left="1440"/>
        <w:rPr>
          <w:b/>
        </w:rPr>
      </w:pPr>
      <w:bookmarkStart w:id="44" w:name="_Ref474072762"/>
      <w:r w:rsidRPr="008462E6">
        <w:rPr>
          <w:b/>
        </w:rPr>
        <w:t>Which, if any, of these types of tenure provide a high degree of security of tenure?</w:t>
      </w:r>
      <w:bookmarkEnd w:id="44"/>
    </w:p>
    <w:p w14:paraId="29DD9A7D" w14:textId="77777777" w:rsidR="00381873" w:rsidRDefault="00896F97" w:rsidP="00E763BD">
      <w:pPr>
        <w:pStyle w:val="AllensHeading5"/>
        <w:numPr>
          <w:ilvl w:val="0"/>
          <w:numId w:val="0"/>
        </w:numPr>
        <w:ind w:left="1440" w:firstLine="22"/>
      </w:pPr>
      <w:r>
        <w:t xml:space="preserve">In principle, Nepal has a structured and formal land system. Land registration is compulsory in Nepal, and registration is based on a </w:t>
      </w:r>
      <w:r w:rsidR="004F69B8">
        <w:t>d</w:t>
      </w:r>
      <w:r>
        <w:t xml:space="preserve">eeds </w:t>
      </w:r>
      <w:r w:rsidR="004F69B8">
        <w:t>r</w:t>
      </w:r>
      <w:r>
        <w:t xml:space="preserve">egistration </w:t>
      </w:r>
      <w:r w:rsidR="004F69B8">
        <w:t>s</w:t>
      </w:r>
      <w:r>
        <w:t>ystem.</w:t>
      </w:r>
      <w:r w:rsidR="00E06FDA">
        <w:rPr>
          <w:rStyle w:val="FootnoteReference"/>
        </w:rPr>
        <w:footnoteReference w:id="45"/>
      </w:r>
      <w:r w:rsidR="00381873">
        <w:t xml:space="preserve"> The registration of land gives rise to its legal existence, and when land is transferred </w:t>
      </w:r>
      <w:r w:rsidR="00E06FDA">
        <w:t>the register should be updated.</w:t>
      </w:r>
      <w:r w:rsidR="00E06FDA">
        <w:rPr>
          <w:rStyle w:val="FootnoteReference"/>
        </w:rPr>
        <w:footnoteReference w:id="46"/>
      </w:r>
      <w:r w:rsidR="00381873">
        <w:t xml:space="preserve"> </w:t>
      </w:r>
    </w:p>
    <w:p w14:paraId="357C7C63" w14:textId="77777777" w:rsidR="007D4104" w:rsidRDefault="00381873" w:rsidP="00E763BD">
      <w:pPr>
        <w:pStyle w:val="AllensHeading5"/>
        <w:numPr>
          <w:ilvl w:val="0"/>
          <w:numId w:val="0"/>
        </w:numPr>
        <w:ind w:left="1440" w:firstLine="22"/>
      </w:pPr>
      <w:r>
        <w:t xml:space="preserve">The purpose of </w:t>
      </w:r>
      <w:r w:rsidR="006A313D">
        <w:t>the registration</w:t>
      </w:r>
      <w:r>
        <w:t xml:space="preserve"> system is to:</w:t>
      </w:r>
    </w:p>
    <w:p w14:paraId="03BCA6AE" w14:textId="77777777" w:rsidR="00381873" w:rsidRDefault="00381873" w:rsidP="00E763BD">
      <w:pPr>
        <w:pStyle w:val="Bullet3"/>
        <w:tabs>
          <w:tab w:val="clear" w:pos="2126"/>
          <w:tab w:val="num" w:pos="2148"/>
        </w:tabs>
        <w:ind w:left="2148"/>
      </w:pPr>
      <w:r>
        <w:t xml:space="preserve">establish certainty of ownership and land rights; </w:t>
      </w:r>
    </w:p>
    <w:p w14:paraId="775303FA" w14:textId="77777777" w:rsidR="00381873" w:rsidRDefault="00381873" w:rsidP="00E763BD">
      <w:pPr>
        <w:pStyle w:val="Bullet3"/>
        <w:tabs>
          <w:tab w:val="clear" w:pos="2126"/>
          <w:tab w:val="num" w:pos="2148"/>
        </w:tabs>
        <w:ind w:left="2148"/>
      </w:pPr>
      <w:r>
        <w:t>allow for the collection of revenue (</w:t>
      </w:r>
      <w:r w:rsidR="006A313D">
        <w:t xml:space="preserve">land </w:t>
      </w:r>
      <w:r>
        <w:t xml:space="preserve">tax) by the Government; </w:t>
      </w:r>
    </w:p>
    <w:p w14:paraId="46CC7273" w14:textId="77777777" w:rsidR="00381873" w:rsidRDefault="00381873" w:rsidP="00E763BD">
      <w:pPr>
        <w:pStyle w:val="Bullet3"/>
        <w:tabs>
          <w:tab w:val="clear" w:pos="2126"/>
          <w:tab w:val="num" w:pos="2148"/>
        </w:tabs>
        <w:ind w:left="2148"/>
      </w:pPr>
      <w:r>
        <w:t>facilitate the transfer of land; and</w:t>
      </w:r>
    </w:p>
    <w:p w14:paraId="2C4F7D85" w14:textId="77777777" w:rsidR="00381873" w:rsidRDefault="00381873" w:rsidP="00E763BD">
      <w:pPr>
        <w:pStyle w:val="Bullet3"/>
        <w:tabs>
          <w:tab w:val="clear" w:pos="2126"/>
          <w:tab w:val="num" w:pos="2148"/>
        </w:tabs>
        <w:ind w:left="2148"/>
      </w:pPr>
      <w:r>
        <w:t>ensure that information about land is easy to access.</w:t>
      </w:r>
      <w:r w:rsidR="00F4095C">
        <w:rPr>
          <w:rStyle w:val="FootnoteReference"/>
        </w:rPr>
        <w:footnoteReference w:id="47"/>
      </w:r>
    </w:p>
    <w:p w14:paraId="008F25B2" w14:textId="7E1D85AD" w:rsidR="00381873" w:rsidRDefault="00381873" w:rsidP="00E763BD">
      <w:pPr>
        <w:pStyle w:val="AllensHeading5"/>
        <w:numPr>
          <w:ilvl w:val="0"/>
          <w:numId w:val="0"/>
        </w:numPr>
        <w:ind w:left="1440"/>
      </w:pPr>
      <w:r>
        <w:t>Despite these legal formalities</w:t>
      </w:r>
      <w:r w:rsidR="00C61196">
        <w:t xml:space="preserve"> though</w:t>
      </w:r>
      <w:r>
        <w:t xml:space="preserve">, </w:t>
      </w:r>
      <w:r w:rsidR="00E06FDA">
        <w:t xml:space="preserve">a number of commentators – including CARE Nepal and IFRC – have concluded that </w:t>
      </w:r>
      <w:r>
        <w:t>in practice, security of tenure in Nepal is undermined for at least three reasons.</w:t>
      </w:r>
    </w:p>
    <w:p w14:paraId="0EA5D0FE" w14:textId="55CE1CE2" w:rsidR="00E9394D" w:rsidRDefault="00381873" w:rsidP="00E06FDA">
      <w:pPr>
        <w:pStyle w:val="Bullet3"/>
        <w:ind w:left="2148"/>
      </w:pPr>
      <w:r>
        <w:t xml:space="preserve">First, </w:t>
      </w:r>
      <w:r w:rsidR="00E9394D">
        <w:t xml:space="preserve">a considerable number of land owners do not have documentation or evidence to demonstrate their ownership. </w:t>
      </w:r>
      <w:r w:rsidR="00307D2C">
        <w:t>E</w:t>
      </w:r>
      <w:r w:rsidR="00E9394D">
        <w:t xml:space="preserve">xisting records are </w:t>
      </w:r>
      <w:r w:rsidR="006A313D">
        <w:t>often</w:t>
      </w:r>
      <w:r w:rsidR="00E9394D">
        <w:t xml:space="preserve"> only kept in paper form, so are vulnerable to decay and destruction, particularly following natural disasters.</w:t>
      </w:r>
      <w:r w:rsidR="00F4095C">
        <w:rPr>
          <w:rStyle w:val="FootnoteReference"/>
        </w:rPr>
        <w:footnoteReference w:id="48"/>
      </w:r>
      <w:r w:rsidR="00E9394D">
        <w:t xml:space="preserve"> </w:t>
      </w:r>
      <w:r w:rsidR="00307D2C">
        <w:t xml:space="preserve">Thus, </w:t>
      </w:r>
      <w:r w:rsidR="00E67EA9">
        <w:t>a</w:t>
      </w:r>
      <w:r w:rsidR="00307D2C">
        <w:t xml:space="preserve">bout </w:t>
      </w:r>
      <w:r w:rsidR="00E9394D">
        <w:t xml:space="preserve">half of all land holdings in Nepal are unregistered and without formal </w:t>
      </w:r>
      <w:r w:rsidR="00C61196">
        <w:t>o</w:t>
      </w:r>
      <w:r w:rsidR="00E9394D">
        <w:t>wnership certification, with many land holders lack</w:t>
      </w:r>
      <w:r w:rsidR="00307D2C">
        <w:t>ing</w:t>
      </w:r>
      <w:r w:rsidR="00E9394D">
        <w:t xml:space="preserve"> the requisite personal identification or other documentation to formalise their interest in land.</w:t>
      </w:r>
      <w:r w:rsidR="00196729">
        <w:rPr>
          <w:rStyle w:val="FootnoteReference"/>
        </w:rPr>
        <w:footnoteReference w:id="49"/>
      </w:r>
      <w:r w:rsidR="00E9394D">
        <w:t xml:space="preserve"> This is especially the case for groups of people who have historically exercised unrecognised customary ownership over land.</w:t>
      </w:r>
      <w:r w:rsidR="00F4095C">
        <w:rPr>
          <w:rStyle w:val="FootnoteReference"/>
        </w:rPr>
        <w:footnoteReference w:id="50"/>
      </w:r>
    </w:p>
    <w:p w14:paraId="0A4F6403" w14:textId="77777777" w:rsidR="00C61196" w:rsidRDefault="00C61196" w:rsidP="00196729">
      <w:pPr>
        <w:pStyle w:val="Bullet3"/>
        <w:ind w:left="2148"/>
      </w:pPr>
      <w:r>
        <w:t>Second, many of the leasehold relationships that exist are predicated on arrangements in which tenants are vulnerable to exploitation by landlords.</w:t>
      </w:r>
      <w:r w:rsidR="00196729">
        <w:rPr>
          <w:rStyle w:val="FootnoteReference"/>
        </w:rPr>
        <w:footnoteReference w:id="51"/>
      </w:r>
      <w:r>
        <w:t xml:space="preserve"> </w:t>
      </w:r>
      <w:r w:rsidR="00567316">
        <w:t>T</w:t>
      </w:r>
      <w:r w:rsidR="00F4095C">
        <w:t>his issue is exacerbated by the prevalence of leasehold arrangements in Nepal, and the substantial number of these arrangements that are established and maintained on an informal basis.</w:t>
      </w:r>
      <w:r w:rsidR="00F4095C">
        <w:rPr>
          <w:rStyle w:val="FootnoteReference"/>
        </w:rPr>
        <w:footnoteReference w:id="52"/>
      </w:r>
    </w:p>
    <w:p w14:paraId="22BC8DDD" w14:textId="77777777" w:rsidR="00E9394D" w:rsidRDefault="00F4095C" w:rsidP="00196729">
      <w:pPr>
        <w:pStyle w:val="Bullet3"/>
        <w:ind w:left="2148"/>
      </w:pPr>
      <w:r>
        <w:t>Third</w:t>
      </w:r>
      <w:r w:rsidR="00E9394D">
        <w:t xml:space="preserve">, </w:t>
      </w:r>
      <w:r w:rsidR="00C61196">
        <w:t xml:space="preserve">weaknesses in cadastral mapping and markers have created challenges for individuals seeking to identify with precision boundaries between different parcels of land. To the extent that cadastral mapping does exist, it is </w:t>
      </w:r>
      <w:r w:rsidR="00C069DF">
        <w:t xml:space="preserve">considered by some to be </w:t>
      </w:r>
      <w:r w:rsidR="00C61196">
        <w:t>inconsistent and unreliable, and the inability to verify land boundaries often gives rise to boundary disputes between land owners.</w:t>
      </w:r>
      <w:r w:rsidR="00AD2925">
        <w:rPr>
          <w:rStyle w:val="FootnoteReference"/>
        </w:rPr>
        <w:footnoteReference w:id="53"/>
      </w:r>
    </w:p>
    <w:p w14:paraId="369B0D0C" w14:textId="77777777" w:rsidR="00C61196" w:rsidRDefault="00F4095C" w:rsidP="00E763BD">
      <w:pPr>
        <w:pStyle w:val="AllensHeading5"/>
        <w:numPr>
          <w:ilvl w:val="0"/>
          <w:numId w:val="0"/>
        </w:numPr>
        <w:ind w:left="1440"/>
      </w:pPr>
      <w:r>
        <w:t xml:space="preserve">These factors, among others, have led commentators to describe Nepal's land registration system </w:t>
      </w:r>
      <w:r w:rsidR="00C069DF">
        <w:t xml:space="preserve">as </w:t>
      </w:r>
      <w:r w:rsidR="006A313D">
        <w:t>'</w:t>
      </w:r>
      <w:r>
        <w:t>weak at best and often non-existent</w:t>
      </w:r>
      <w:r w:rsidR="006A313D">
        <w:t>'</w:t>
      </w:r>
      <w:r>
        <w:t>.</w:t>
      </w:r>
      <w:r>
        <w:rPr>
          <w:rStyle w:val="FootnoteReference"/>
        </w:rPr>
        <w:footnoteReference w:id="54"/>
      </w:r>
    </w:p>
    <w:p w14:paraId="75505890" w14:textId="77777777" w:rsidR="002D47F2" w:rsidRPr="00AD2925" w:rsidRDefault="002D47F2" w:rsidP="00E763BD">
      <w:pPr>
        <w:pStyle w:val="AllensHeading3"/>
        <w:tabs>
          <w:tab w:val="clear" w:pos="1418"/>
          <w:tab w:val="num" w:pos="1440"/>
        </w:tabs>
        <w:ind w:left="1440"/>
        <w:rPr>
          <w:b/>
        </w:rPr>
      </w:pPr>
      <w:r w:rsidRPr="00AD2925">
        <w:rPr>
          <w:b/>
        </w:rPr>
        <w:t>How does tenure differ between urban and rural areas? If possible, please provide statistics about the prevalence of each type of tenure in urban and rural areas.</w:t>
      </w:r>
    </w:p>
    <w:p w14:paraId="266294AF" w14:textId="36459EC6" w:rsidR="00E75B59" w:rsidRDefault="00AC4338" w:rsidP="00E763BD">
      <w:pPr>
        <w:pStyle w:val="AllensHeading3"/>
        <w:numPr>
          <w:ilvl w:val="0"/>
          <w:numId w:val="0"/>
        </w:numPr>
        <w:ind w:left="1440"/>
      </w:pPr>
      <w:r>
        <w:t xml:space="preserve">Tenure in </w:t>
      </w:r>
      <w:r w:rsidR="00AD2925">
        <w:t xml:space="preserve">urban and rural </w:t>
      </w:r>
      <w:r w:rsidR="00092F5E">
        <w:t>areas is</w:t>
      </w:r>
      <w:r>
        <w:t xml:space="preserve"> </w:t>
      </w:r>
      <w:r w:rsidR="00817C18">
        <w:t xml:space="preserve">substantially </w:t>
      </w:r>
      <w:r>
        <w:t>the same</w:t>
      </w:r>
      <w:r w:rsidR="00E865ED">
        <w:t xml:space="preserve">. However, </w:t>
      </w:r>
      <w:r w:rsidR="0061731D">
        <w:t>t</w:t>
      </w:r>
      <w:r>
        <w:t xml:space="preserve">here are some </w:t>
      </w:r>
      <w:r w:rsidR="00817C18">
        <w:t xml:space="preserve">practical </w:t>
      </w:r>
      <w:r>
        <w:t xml:space="preserve">differences between </w:t>
      </w:r>
      <w:r w:rsidR="00E865ED">
        <w:t xml:space="preserve">the ownership of </w:t>
      </w:r>
      <w:r>
        <w:t>land in urban and rural areas, including that:</w:t>
      </w:r>
    </w:p>
    <w:p w14:paraId="2EEEC788" w14:textId="27E8DCDC" w:rsidR="00AC4338" w:rsidRDefault="00AC4338" w:rsidP="00E763BD">
      <w:pPr>
        <w:pStyle w:val="AllensHeading4"/>
        <w:tabs>
          <w:tab w:val="clear" w:pos="2126"/>
          <w:tab w:val="num" w:pos="2148"/>
        </w:tabs>
        <w:ind w:left="2148"/>
      </w:pPr>
      <w:r>
        <w:t xml:space="preserve">rural tenants tend to be more disadvantaged than urban tenants as a result of </w:t>
      </w:r>
      <w:r w:rsidR="00FA0F5B">
        <w:t xml:space="preserve">their caste and social status, as well as </w:t>
      </w:r>
      <w:r>
        <w:t xml:space="preserve">having </w:t>
      </w:r>
      <w:r w:rsidR="00FA0F5B">
        <w:t xml:space="preserve">generally lower </w:t>
      </w:r>
      <w:r>
        <w:t>income</w:t>
      </w:r>
      <w:r w:rsidR="00817C18">
        <w:t>s</w:t>
      </w:r>
      <w:r w:rsidR="00FA0F5B">
        <w:t>;</w:t>
      </w:r>
      <w:r w:rsidR="001A5D26">
        <w:rPr>
          <w:rStyle w:val="FootnoteReference"/>
        </w:rPr>
        <w:footnoteReference w:id="55"/>
      </w:r>
      <w:r w:rsidR="00FA0F5B">
        <w:t xml:space="preserve"> and</w:t>
      </w:r>
    </w:p>
    <w:p w14:paraId="19696A99" w14:textId="77777777" w:rsidR="00FA0F5B" w:rsidRDefault="00FA0F5B" w:rsidP="00E763BD">
      <w:pPr>
        <w:pStyle w:val="AllensHeading4"/>
        <w:tabs>
          <w:tab w:val="clear" w:pos="2126"/>
          <w:tab w:val="num" w:pos="2148"/>
        </w:tabs>
        <w:ind w:left="2148"/>
      </w:pPr>
      <w:r>
        <w:t xml:space="preserve">undocumented or informal tenancy arrangements are particularly prevalent in rural areas </w:t>
      </w:r>
      <w:r w:rsidR="001A5D26">
        <w:t>(</w:t>
      </w:r>
      <w:r>
        <w:t>though as outlined above, this is an issue to some extent in Nepal's urban areas as well</w:t>
      </w:r>
      <w:r w:rsidR="001A5D26">
        <w:t>)</w:t>
      </w:r>
      <w:r>
        <w:t>.</w:t>
      </w:r>
      <w:r w:rsidR="001A5D26">
        <w:rPr>
          <w:rStyle w:val="FootnoteReference"/>
        </w:rPr>
        <w:footnoteReference w:id="56"/>
      </w:r>
    </w:p>
    <w:p w14:paraId="7C2B4047" w14:textId="14F8661A" w:rsidR="0061731D" w:rsidRDefault="00FA0F5B" w:rsidP="00E763BD">
      <w:pPr>
        <w:pStyle w:val="NormalIndent"/>
        <w:ind w:left="1440"/>
      </w:pPr>
      <w:r>
        <w:t xml:space="preserve">The prevalence of each type of tenure in urban and rural areas </w:t>
      </w:r>
      <w:r w:rsidR="00092F5E">
        <w:t>is</w:t>
      </w:r>
      <w:r>
        <w:t xml:space="preserve"> not reliably known: surveys conducted on this point are drawn from small sample sizes or </w:t>
      </w:r>
      <w:r w:rsidR="0061731D">
        <w:t xml:space="preserve">are </w:t>
      </w:r>
      <w:r>
        <w:t>out of date</w:t>
      </w:r>
      <w:r w:rsidR="0088450E">
        <w:t>,</w:t>
      </w:r>
      <w:r>
        <w:t xml:space="preserve"> </w:t>
      </w:r>
      <w:r w:rsidR="00E865ED">
        <w:t xml:space="preserve">the </w:t>
      </w:r>
      <w:r>
        <w:t>results of such surveys vary from time to time</w:t>
      </w:r>
      <w:r w:rsidR="0088450E">
        <w:t>,</w:t>
      </w:r>
      <w:r>
        <w:t xml:space="preserve"> and many land owners intentionally conceal the extent of their own land holdings for legal reasons.</w:t>
      </w:r>
      <w:r w:rsidR="001A5D26">
        <w:rPr>
          <w:rStyle w:val="FootnoteReference"/>
        </w:rPr>
        <w:footnoteReference w:id="57"/>
      </w:r>
      <w:r w:rsidR="006A313D">
        <w:t xml:space="preserve"> Nonetheless, t</w:t>
      </w:r>
      <w:r w:rsidR="0061731D">
        <w:t>here is some information available on differences between rural and land holdings</w:t>
      </w:r>
      <w:r w:rsidR="006A313D">
        <w:t>, as follows</w:t>
      </w:r>
      <w:r w:rsidR="0061731D">
        <w:t>:</w:t>
      </w:r>
    </w:p>
    <w:p w14:paraId="224DD5B0" w14:textId="07CBC556" w:rsidR="0061731D" w:rsidRDefault="0061731D" w:rsidP="00E763BD">
      <w:pPr>
        <w:pStyle w:val="AllensHeading4"/>
        <w:numPr>
          <w:ilvl w:val="3"/>
          <w:numId w:val="15"/>
        </w:numPr>
        <w:tabs>
          <w:tab w:val="clear" w:pos="2126"/>
          <w:tab w:val="num" w:pos="2148"/>
        </w:tabs>
        <w:ind w:left="2148"/>
      </w:pPr>
      <w:r>
        <w:t>urban land constitutes about 3% of land in Nepal compared to rural land which, including public forests, rivers and pastures</w:t>
      </w:r>
      <w:r w:rsidR="008C587D">
        <w:t>,</w:t>
      </w:r>
      <w:r>
        <w:t xml:space="preserve"> constitutes about 97%;</w:t>
      </w:r>
      <w:r>
        <w:rPr>
          <w:rStyle w:val="FootnoteReference"/>
        </w:rPr>
        <w:footnoteReference w:id="58"/>
      </w:r>
    </w:p>
    <w:p w14:paraId="1F0B7803" w14:textId="77777777" w:rsidR="0061731D" w:rsidRDefault="0061731D" w:rsidP="00E763BD">
      <w:pPr>
        <w:pStyle w:val="AllensHeading4"/>
        <w:numPr>
          <w:ilvl w:val="3"/>
          <w:numId w:val="15"/>
        </w:numPr>
        <w:tabs>
          <w:tab w:val="clear" w:pos="2126"/>
          <w:tab w:val="num" w:pos="2148"/>
        </w:tabs>
        <w:ind w:left="2148"/>
      </w:pPr>
      <w:r>
        <w:t>the urban population is about 15% compared to the rural population of about 85%;</w:t>
      </w:r>
      <w:r>
        <w:rPr>
          <w:rStyle w:val="FootnoteReference"/>
        </w:rPr>
        <w:footnoteReference w:id="59"/>
      </w:r>
      <w:r>
        <w:t xml:space="preserve"> and</w:t>
      </w:r>
    </w:p>
    <w:p w14:paraId="1607D1FA" w14:textId="77777777" w:rsidR="0061731D" w:rsidRDefault="0061731D" w:rsidP="00E763BD">
      <w:pPr>
        <w:pStyle w:val="AllensHeading4"/>
        <w:numPr>
          <w:ilvl w:val="3"/>
          <w:numId w:val="15"/>
        </w:numPr>
        <w:tabs>
          <w:tab w:val="clear" w:pos="2126"/>
          <w:tab w:val="num" w:pos="2148"/>
        </w:tabs>
        <w:ind w:left="2148"/>
      </w:pPr>
      <w:r>
        <w:t xml:space="preserve">rural land distributions remain highly skewed, with 7.5% of farmers owning </w:t>
      </w:r>
      <w:r w:rsidR="001A5D26">
        <w:t xml:space="preserve">between a third and half of </w:t>
      </w:r>
      <w:r w:rsidR="00817C18">
        <w:t xml:space="preserve">all </w:t>
      </w:r>
      <w:r w:rsidR="001A5D26">
        <w:t>rural land parcels.</w:t>
      </w:r>
      <w:r w:rsidR="001A5D26">
        <w:rPr>
          <w:rStyle w:val="FootnoteReference"/>
        </w:rPr>
        <w:footnoteReference w:id="60"/>
      </w:r>
    </w:p>
    <w:p w14:paraId="450F10DA" w14:textId="1871A31A" w:rsidR="002D47F2" w:rsidRPr="001A5D26" w:rsidRDefault="002D47F2" w:rsidP="00E763BD">
      <w:pPr>
        <w:pStyle w:val="AllensHeading3"/>
        <w:tabs>
          <w:tab w:val="clear" w:pos="1418"/>
          <w:tab w:val="num" w:pos="1440"/>
        </w:tabs>
        <w:ind w:left="1440"/>
        <w:rPr>
          <w:b/>
        </w:rPr>
      </w:pPr>
      <w:bookmarkStart w:id="46" w:name="Key_Govt_Actors"/>
      <w:r w:rsidRPr="001A5D26">
        <w:rPr>
          <w:b/>
        </w:rPr>
        <w:t>What are the main government and non-government bodies (e</w:t>
      </w:r>
      <w:r w:rsidR="00AC3AC6">
        <w:rPr>
          <w:b/>
        </w:rPr>
        <w:t>.</w:t>
      </w:r>
      <w:r w:rsidRPr="001A5D26">
        <w:rPr>
          <w:b/>
        </w:rPr>
        <w:t>g</w:t>
      </w:r>
      <w:r w:rsidR="00AC3AC6">
        <w:rPr>
          <w:b/>
        </w:rPr>
        <w:t>.</w:t>
      </w:r>
      <w:r w:rsidRPr="001A5D26">
        <w:rPr>
          <w:b/>
        </w:rPr>
        <w:t xml:space="preserve"> representative bodies)</w:t>
      </w:r>
      <w:r w:rsidR="00861359" w:rsidRPr="001A5D26">
        <w:rPr>
          <w:b/>
        </w:rPr>
        <w:t xml:space="preserve"> that </w:t>
      </w:r>
      <w:r w:rsidRPr="001A5D26">
        <w:rPr>
          <w:b/>
        </w:rPr>
        <w:t>administer or deal with housing, land and property?</w:t>
      </w:r>
    </w:p>
    <w:p w14:paraId="6E065B67" w14:textId="77777777" w:rsidR="003970C8" w:rsidRDefault="003970C8" w:rsidP="00697716">
      <w:pPr>
        <w:pStyle w:val="level4"/>
      </w:pPr>
      <w:r>
        <w:t>Governmental bodies</w:t>
      </w:r>
    </w:p>
    <w:p w14:paraId="04ED60F4" w14:textId="2A05CD7E" w:rsidR="00AC5800" w:rsidRDefault="00D82225" w:rsidP="00E763BD">
      <w:pPr>
        <w:pStyle w:val="AllensHeading3"/>
        <w:numPr>
          <w:ilvl w:val="0"/>
          <w:numId w:val="0"/>
        </w:numPr>
        <w:ind w:left="2148"/>
      </w:pPr>
      <w:r>
        <w:t xml:space="preserve">The </w:t>
      </w:r>
      <w:r w:rsidR="00AC5800">
        <w:t xml:space="preserve">Ministry of </w:t>
      </w:r>
      <w:r w:rsidR="00715AB6" w:rsidRPr="00715AB6">
        <w:t xml:space="preserve">Land Management, Cooperatives and Poverty Alleviation </w:t>
      </w:r>
      <w:r w:rsidR="00DE7C62">
        <w:t>is the peak national governmental body for the growth and development of the land sector in Nepal. It</w:t>
      </w:r>
      <w:r w:rsidR="00715AB6">
        <w:t>s</w:t>
      </w:r>
      <w:r w:rsidR="00DE7C62">
        <w:t xml:space="preserve"> </w:t>
      </w:r>
      <w:r>
        <w:t>functions includ</w:t>
      </w:r>
      <w:r w:rsidR="00715AB6">
        <w:t>e</w:t>
      </w:r>
      <w:r>
        <w:t>:</w:t>
      </w:r>
    </w:p>
    <w:p w14:paraId="21AD1EB9" w14:textId="77777777" w:rsidR="00D82225" w:rsidRDefault="00D82225" w:rsidP="00E763BD">
      <w:pPr>
        <w:pStyle w:val="Bullet3"/>
        <w:tabs>
          <w:tab w:val="clear" w:pos="2126"/>
          <w:tab w:val="num" w:pos="2878"/>
        </w:tabs>
        <w:ind w:left="2856"/>
      </w:pPr>
      <w:r>
        <w:t>land administration and revenue collection;</w:t>
      </w:r>
    </w:p>
    <w:p w14:paraId="09806DE3" w14:textId="77777777" w:rsidR="00D82225" w:rsidRDefault="00D82225" w:rsidP="00E763BD">
      <w:pPr>
        <w:pStyle w:val="Bullet3"/>
        <w:tabs>
          <w:tab w:val="clear" w:pos="2126"/>
          <w:tab w:val="num" w:pos="2148"/>
        </w:tabs>
        <w:ind w:left="2856"/>
      </w:pPr>
      <w:r>
        <w:t>dealing with national and international issues related to land;</w:t>
      </w:r>
    </w:p>
    <w:p w14:paraId="1F04464E" w14:textId="77777777" w:rsidR="00D82225" w:rsidRDefault="00D82225" w:rsidP="00E763BD">
      <w:pPr>
        <w:pStyle w:val="Bullet3"/>
        <w:tabs>
          <w:tab w:val="clear" w:pos="2126"/>
          <w:tab w:val="num" w:pos="2148"/>
        </w:tabs>
        <w:ind w:left="2856"/>
      </w:pPr>
      <w:r>
        <w:t>management of Guthi land;</w:t>
      </w:r>
    </w:p>
    <w:p w14:paraId="0209D197" w14:textId="77777777" w:rsidR="00D82225" w:rsidRDefault="00D82225" w:rsidP="00E763BD">
      <w:pPr>
        <w:pStyle w:val="Bullet3"/>
        <w:tabs>
          <w:tab w:val="clear" w:pos="2126"/>
          <w:tab w:val="num" w:pos="2148"/>
        </w:tabs>
        <w:ind w:left="2856"/>
      </w:pPr>
      <w:r>
        <w:t>implementing land reform programs; and</w:t>
      </w:r>
    </w:p>
    <w:p w14:paraId="4DBA4A9F" w14:textId="77777777" w:rsidR="00D82225" w:rsidRDefault="00D82225" w:rsidP="00E763BD">
      <w:pPr>
        <w:pStyle w:val="Bullet3"/>
        <w:tabs>
          <w:tab w:val="clear" w:pos="2126"/>
          <w:tab w:val="num" w:pos="2148"/>
        </w:tabs>
        <w:ind w:left="2856"/>
      </w:pPr>
      <w:r>
        <w:t>conducting land mapping and land survey programs.</w:t>
      </w:r>
      <w:r>
        <w:rPr>
          <w:rStyle w:val="FootnoteReference"/>
        </w:rPr>
        <w:footnoteReference w:id="61"/>
      </w:r>
    </w:p>
    <w:p w14:paraId="7ECD9B83" w14:textId="77777777" w:rsidR="00715AB6" w:rsidRDefault="00715AB6" w:rsidP="00E763BD">
      <w:pPr>
        <w:pStyle w:val="Bullet3"/>
        <w:numPr>
          <w:ilvl w:val="0"/>
          <w:numId w:val="0"/>
        </w:numPr>
        <w:ind w:left="2148"/>
      </w:pPr>
      <w:r w:rsidRPr="00715AB6">
        <w:t xml:space="preserve">The Ministry of Agriculture and Livestock Development is the </w:t>
      </w:r>
      <w:r>
        <w:t xml:space="preserve">peak </w:t>
      </w:r>
      <w:r w:rsidRPr="00715AB6">
        <w:t>national government</w:t>
      </w:r>
      <w:r>
        <w:t>al</w:t>
      </w:r>
      <w:r w:rsidRPr="00715AB6">
        <w:t xml:space="preserve"> body responsible for the development</w:t>
      </w:r>
      <w:r>
        <w:t>, management</w:t>
      </w:r>
      <w:r w:rsidRPr="00715AB6">
        <w:t xml:space="preserve"> and gro</w:t>
      </w:r>
      <w:r>
        <w:t>wth of the agricultural sector.</w:t>
      </w:r>
    </w:p>
    <w:p w14:paraId="30D3FB0F" w14:textId="4306F124" w:rsidR="00810B6C" w:rsidRDefault="00715AB6" w:rsidP="00E763BD">
      <w:pPr>
        <w:pStyle w:val="Bullet3"/>
        <w:numPr>
          <w:ilvl w:val="0"/>
          <w:numId w:val="0"/>
        </w:numPr>
        <w:ind w:left="2148"/>
      </w:pPr>
      <w:r>
        <w:t>In addition, the</w:t>
      </w:r>
      <w:r w:rsidR="00810B6C">
        <w:t xml:space="preserve"> </w:t>
      </w:r>
      <w:r w:rsidR="00810B6C" w:rsidRPr="00FD7306">
        <w:t xml:space="preserve">Local </w:t>
      </w:r>
      <w:r w:rsidR="007F31AA" w:rsidRPr="00FD7306">
        <w:t>Govern</w:t>
      </w:r>
      <w:r w:rsidR="004F3853" w:rsidRPr="00592505">
        <w:t xml:space="preserve">ment </w:t>
      </w:r>
      <w:r w:rsidR="007F31AA" w:rsidRPr="00FD7306">
        <w:t>Act</w:t>
      </w:r>
      <w:r w:rsidR="004F3853" w:rsidRPr="00FD7306">
        <w:rPr>
          <w:i/>
        </w:rPr>
        <w:t xml:space="preserve"> </w:t>
      </w:r>
      <w:r w:rsidR="007F31AA">
        <w:t>mandates</w:t>
      </w:r>
      <w:r w:rsidR="00810B6C">
        <w:t xml:space="preserve"> that various local bodies</w:t>
      </w:r>
      <w:r w:rsidR="004F3853">
        <w:t xml:space="preserve"> (Rural Municipality and Municipality)</w:t>
      </w:r>
      <w:r w:rsidR="00810B6C">
        <w:t xml:space="preserve"> take responsibility for the </w:t>
      </w:r>
      <w:r w:rsidR="004F3853">
        <w:t>distribution of land ownership certificates,</w:t>
      </w:r>
      <w:r w:rsidR="004F3853">
        <w:rPr>
          <w:rStyle w:val="FootnoteReference"/>
        </w:rPr>
        <w:footnoteReference w:id="62"/>
      </w:r>
      <w:r w:rsidR="004F3853">
        <w:t xml:space="preserve"> </w:t>
      </w:r>
      <w:r w:rsidR="000665CF">
        <w:t xml:space="preserve">the </w:t>
      </w:r>
      <w:r w:rsidR="00810B6C">
        <w:t>maintenance of land records</w:t>
      </w:r>
      <w:r w:rsidR="004F3853">
        <w:t>,</w:t>
      </w:r>
      <w:r w:rsidR="00810B6C">
        <w:t xml:space="preserve"> and the protection of public land</w:t>
      </w:r>
      <w:r w:rsidR="004F3853">
        <w:t>.</w:t>
      </w:r>
      <w:r w:rsidR="00810B6C">
        <w:rPr>
          <w:rStyle w:val="FootnoteReference"/>
        </w:rPr>
        <w:footnoteReference w:id="63"/>
      </w:r>
      <w:r w:rsidR="00810B6C">
        <w:t xml:space="preserve"> </w:t>
      </w:r>
    </w:p>
    <w:p w14:paraId="4F533BB3" w14:textId="77777777" w:rsidR="00E763BD" w:rsidRDefault="00E763BD" w:rsidP="00FD7306">
      <w:pPr>
        <w:pStyle w:val="level4"/>
        <w:keepNext/>
        <w:ind w:left="2127" w:hanging="709"/>
      </w:pPr>
      <w:r>
        <w:t>Non-governmental bodies</w:t>
      </w:r>
    </w:p>
    <w:p w14:paraId="47262648" w14:textId="7F9757F5" w:rsidR="00E763BD" w:rsidRDefault="00E763BD" w:rsidP="00E763BD">
      <w:pPr>
        <w:pStyle w:val="level4"/>
        <w:numPr>
          <w:ilvl w:val="0"/>
          <w:numId w:val="0"/>
        </w:numPr>
        <w:ind w:left="2126"/>
      </w:pPr>
      <w:r>
        <w:t xml:space="preserve">The </w:t>
      </w:r>
      <w:bookmarkStart w:id="48" w:name="_Hlk8913503"/>
      <w:r>
        <w:t>National Land Rights Forum (</w:t>
      </w:r>
      <w:r w:rsidRPr="00E763BD">
        <w:rPr>
          <w:b/>
          <w:i/>
        </w:rPr>
        <w:t>NLRF</w:t>
      </w:r>
      <w:r>
        <w:t xml:space="preserve">) </w:t>
      </w:r>
      <w:bookmarkEnd w:id="48"/>
      <w:r>
        <w:t>is a national people's organisation which works on the land rights of farmers from an agricultural perspective.</w:t>
      </w:r>
      <w:r w:rsidR="00780AFF">
        <w:rPr>
          <w:rStyle w:val="FootnoteReference"/>
        </w:rPr>
        <w:footnoteReference w:id="64"/>
      </w:r>
      <w:r>
        <w:t xml:space="preserve"> Its activities include organis</w:t>
      </w:r>
      <w:r w:rsidRPr="00E763BD">
        <w:t>ing and educating land</w:t>
      </w:r>
      <w:r w:rsidR="00817C18">
        <w:t>-</w:t>
      </w:r>
      <w:r w:rsidRPr="00E763BD">
        <w:t>poor farmer</w:t>
      </w:r>
      <w:r>
        <w:t>s, policy advocacy, mass mobilis</w:t>
      </w:r>
      <w:r w:rsidRPr="00E763BD">
        <w:t xml:space="preserve">ation to pressure </w:t>
      </w:r>
      <w:r w:rsidR="00817C18">
        <w:t>the G</w:t>
      </w:r>
      <w:r w:rsidRPr="00E763BD">
        <w:t>overnment, development of community leaders</w:t>
      </w:r>
      <w:r w:rsidR="000665CF">
        <w:t>,</w:t>
      </w:r>
      <w:r w:rsidRPr="00E763BD">
        <w:t xml:space="preserve"> and practicing community-led land reform and sustainable farming.</w:t>
      </w:r>
      <w:r w:rsidR="00780AFF">
        <w:rPr>
          <w:rStyle w:val="FootnoteReference"/>
        </w:rPr>
        <w:footnoteReference w:id="65"/>
      </w:r>
      <w:r>
        <w:t xml:space="preserve"> The NLRF operates in 50 of Nepal's 7</w:t>
      </w:r>
      <w:r w:rsidR="006A313D">
        <w:t>7</w:t>
      </w:r>
      <w:r>
        <w:t xml:space="preserve"> districts.</w:t>
      </w:r>
      <w:r w:rsidR="00780AFF">
        <w:rPr>
          <w:rStyle w:val="FootnoteReference"/>
        </w:rPr>
        <w:footnoteReference w:id="66"/>
      </w:r>
    </w:p>
    <w:p w14:paraId="1D977359" w14:textId="77777777" w:rsidR="00780AFF" w:rsidRDefault="00780AFF" w:rsidP="00E763BD">
      <w:pPr>
        <w:pStyle w:val="level4"/>
        <w:numPr>
          <w:ilvl w:val="0"/>
          <w:numId w:val="0"/>
        </w:numPr>
        <w:ind w:left="2126"/>
      </w:pPr>
      <w:r>
        <w:t>Lumanti is an organisation working on land rights from a housing perspective, advocating for land allocations and regularisations for slum dwellers and squatters.</w:t>
      </w:r>
      <w:r w:rsidR="001F02A7">
        <w:rPr>
          <w:rStyle w:val="FootnoteReference"/>
        </w:rPr>
        <w:footnoteReference w:id="67"/>
      </w:r>
      <w:r>
        <w:t xml:space="preserve"> Lumanti has facilitated the creation of other grassroots organisations, such as </w:t>
      </w:r>
      <w:r w:rsidRPr="00780AFF">
        <w:t>Nepal Mahila Ekata Samaj</w:t>
      </w:r>
      <w:r>
        <w:t xml:space="preserve">, </w:t>
      </w:r>
      <w:r w:rsidR="006A313D">
        <w:t xml:space="preserve">which </w:t>
      </w:r>
      <w:r>
        <w:t xml:space="preserve">focuses </w:t>
      </w:r>
      <w:r w:rsidR="001F02A7">
        <w:t xml:space="preserve">particularly </w:t>
      </w:r>
      <w:r>
        <w:t xml:space="preserve">on </w:t>
      </w:r>
      <w:r w:rsidR="001F02A7">
        <w:t>female squatters and issues that affect them.</w:t>
      </w:r>
      <w:r w:rsidR="001F02A7">
        <w:rPr>
          <w:rStyle w:val="FootnoteReference"/>
        </w:rPr>
        <w:footnoteReference w:id="68"/>
      </w:r>
    </w:p>
    <w:p w14:paraId="5630D2FB" w14:textId="77777777" w:rsidR="00E763BD" w:rsidRPr="00861359" w:rsidRDefault="0050537A" w:rsidP="00E763BD">
      <w:pPr>
        <w:pStyle w:val="level4"/>
        <w:numPr>
          <w:ilvl w:val="0"/>
          <w:numId w:val="0"/>
        </w:numPr>
        <w:ind w:left="2126"/>
      </w:pPr>
      <w:r>
        <w:t>T</w:t>
      </w:r>
      <w:r w:rsidR="001F02A7">
        <w:t xml:space="preserve">he </w:t>
      </w:r>
      <w:bookmarkStart w:id="52" w:name="_Hlk8913510"/>
      <w:r w:rsidR="001F02A7">
        <w:t xml:space="preserve">Forum for Women, </w:t>
      </w:r>
      <w:r w:rsidR="00092F5E">
        <w:t>Law</w:t>
      </w:r>
      <w:r w:rsidR="001F02A7">
        <w:t xml:space="preserve"> and </w:t>
      </w:r>
      <w:r w:rsidR="006D6EBA">
        <w:t>Development</w:t>
      </w:r>
      <w:r w:rsidR="00833C6F">
        <w:t xml:space="preserve"> (</w:t>
      </w:r>
      <w:r w:rsidR="00833C6F" w:rsidRPr="00833C6F">
        <w:rPr>
          <w:b/>
          <w:i/>
        </w:rPr>
        <w:t>FWLD</w:t>
      </w:r>
      <w:r w:rsidR="00833C6F">
        <w:t>)</w:t>
      </w:r>
      <w:r w:rsidR="006D6EBA">
        <w:t xml:space="preserve"> </w:t>
      </w:r>
      <w:bookmarkEnd w:id="52"/>
      <w:r w:rsidR="006D6EBA">
        <w:t>is an organisation that pursues a human rights agenda to change discriminatory laws and practices in Nepal, including in relation to land issues.</w:t>
      </w:r>
      <w:r w:rsidR="006D6EBA">
        <w:rPr>
          <w:rStyle w:val="FootnoteReference"/>
        </w:rPr>
        <w:footnoteReference w:id="69"/>
      </w:r>
    </w:p>
    <w:p w14:paraId="2A1AC31F" w14:textId="77777777" w:rsidR="002D47F2" w:rsidRDefault="002D47F2" w:rsidP="00E273DA">
      <w:pPr>
        <w:pStyle w:val="AllensHeading2"/>
      </w:pPr>
      <w:bookmarkStart w:id="54" w:name="_Toc8914059"/>
      <w:bookmarkEnd w:id="46"/>
      <w:r>
        <w:t>Documenting tenure</w:t>
      </w:r>
      <w:bookmarkEnd w:id="54"/>
    </w:p>
    <w:p w14:paraId="5FBC513B" w14:textId="6C602FD8" w:rsidR="002D47F2" w:rsidRPr="007F31AA" w:rsidRDefault="002D47F2" w:rsidP="00861359">
      <w:pPr>
        <w:pStyle w:val="AllensHeading3"/>
        <w:rPr>
          <w:b/>
        </w:rPr>
      </w:pPr>
      <w:r w:rsidRPr="007F31AA">
        <w:rPr>
          <w:b/>
        </w:rPr>
        <w:t>What statutory instruments or legal documents (e</w:t>
      </w:r>
      <w:r w:rsidR="00AC3AC6">
        <w:rPr>
          <w:b/>
        </w:rPr>
        <w:t>.</w:t>
      </w:r>
      <w:r w:rsidRPr="007F31AA">
        <w:rPr>
          <w:b/>
        </w:rPr>
        <w:t>g</w:t>
      </w:r>
      <w:r w:rsidR="00AC3AC6">
        <w:rPr>
          <w:b/>
        </w:rPr>
        <w:t>.</w:t>
      </w:r>
      <w:r w:rsidRPr="007F31AA">
        <w:rPr>
          <w:b/>
        </w:rPr>
        <w:t xml:space="preserve"> title deeds or leases) are used to create or transfer tenure?</w:t>
      </w:r>
    </w:p>
    <w:p w14:paraId="56851D86" w14:textId="77777777" w:rsidR="004F3853" w:rsidRDefault="005A1A2E" w:rsidP="00FD7306">
      <w:pPr>
        <w:ind w:left="1418"/>
      </w:pPr>
      <w:r>
        <w:t xml:space="preserve">As Nepal has a system of land registration, the relevant legal instruments for the creation and transfer of tenure are those which result in the registration </w:t>
      </w:r>
      <w:r w:rsidR="00697716">
        <w:t xml:space="preserve">of land </w:t>
      </w:r>
      <w:r>
        <w:t xml:space="preserve">and update of the land register (known as the </w:t>
      </w:r>
      <w:r>
        <w:rPr>
          <w:i/>
        </w:rPr>
        <w:t>Moth</w:t>
      </w:r>
      <w:r>
        <w:t xml:space="preserve">). </w:t>
      </w:r>
      <w:r w:rsidR="004F3853">
        <w:t xml:space="preserve">The registration of land is made at a District Revenue Office. The following documents are necessary for registration, along with the deed of </w:t>
      </w:r>
      <w:r w:rsidR="004F3853" w:rsidRPr="00F357DB">
        <w:rPr>
          <w:i/>
          <w:iCs/>
        </w:rPr>
        <w:t>Rajinama</w:t>
      </w:r>
      <w:r w:rsidR="004F3853">
        <w:t xml:space="preserve"> (Application) of Land:</w:t>
      </w:r>
    </w:p>
    <w:p w14:paraId="4BCA7665" w14:textId="77777777" w:rsidR="004F3853" w:rsidRDefault="004F3853" w:rsidP="00FD7306">
      <w:pPr>
        <w:pStyle w:val="AllensHeading4"/>
      </w:pPr>
      <w:r>
        <w:t xml:space="preserve">For the </w:t>
      </w:r>
      <w:r w:rsidR="000665CF">
        <w:t>s</w:t>
      </w:r>
      <w:r>
        <w:t>eller:</w:t>
      </w:r>
    </w:p>
    <w:p w14:paraId="312CDCEE" w14:textId="77777777" w:rsidR="004F3853" w:rsidRDefault="004F3853" w:rsidP="00FD7306">
      <w:pPr>
        <w:pStyle w:val="AllensHeading5"/>
      </w:pPr>
      <w:r>
        <w:t>land ownership certificate;</w:t>
      </w:r>
    </w:p>
    <w:p w14:paraId="212460F1" w14:textId="00639357" w:rsidR="004F3853" w:rsidRDefault="004F3853" w:rsidP="00FD7306">
      <w:pPr>
        <w:pStyle w:val="AllensHeading5"/>
      </w:pPr>
      <w:r>
        <w:t xml:space="preserve">letter </w:t>
      </w:r>
      <w:r w:rsidR="008C587D">
        <w:t xml:space="preserve">confirming </w:t>
      </w:r>
      <w:r>
        <w:t xml:space="preserve">access from the </w:t>
      </w:r>
      <w:r w:rsidR="008C587D">
        <w:t xml:space="preserve">relevant </w:t>
      </w:r>
      <w:r>
        <w:t>ward;</w:t>
      </w:r>
    </w:p>
    <w:p w14:paraId="0BA7C629" w14:textId="77777777" w:rsidR="004F3853" w:rsidRDefault="004F3853" w:rsidP="00FD7306">
      <w:pPr>
        <w:pStyle w:val="AllensHeading5"/>
      </w:pPr>
      <w:r>
        <w:t>revenue clearance certificate;</w:t>
      </w:r>
    </w:p>
    <w:p w14:paraId="3E69C6BF" w14:textId="64B9F7B6" w:rsidR="004F3853" w:rsidRDefault="004F3853" w:rsidP="00FD7306">
      <w:pPr>
        <w:pStyle w:val="AllensHeading5"/>
      </w:pPr>
      <w:r>
        <w:t xml:space="preserve">a copy of </w:t>
      </w:r>
      <w:r w:rsidR="008C587D">
        <w:t xml:space="preserve">their </w:t>
      </w:r>
      <w:r>
        <w:t>citizenship certificate;</w:t>
      </w:r>
    </w:p>
    <w:p w14:paraId="7AFA5B89" w14:textId="77777777" w:rsidR="004F3853" w:rsidRDefault="004F3853" w:rsidP="00FD7306">
      <w:pPr>
        <w:pStyle w:val="AllensHeading5"/>
      </w:pPr>
      <w:r>
        <w:t xml:space="preserve">witnesses (at least </w:t>
      </w:r>
      <w:r w:rsidR="00E67EA9">
        <w:t>two</w:t>
      </w:r>
      <w:r>
        <w:t>); and</w:t>
      </w:r>
    </w:p>
    <w:p w14:paraId="719681EA" w14:textId="4D60F2A2" w:rsidR="004F3853" w:rsidRDefault="004F3853" w:rsidP="00FD7306">
      <w:pPr>
        <w:pStyle w:val="AllensHeading5"/>
      </w:pPr>
      <w:r>
        <w:t>capital gain</w:t>
      </w:r>
      <w:r w:rsidR="008C587D">
        <w:t>s</w:t>
      </w:r>
      <w:r>
        <w:t xml:space="preserve"> tax clearance.</w:t>
      </w:r>
    </w:p>
    <w:p w14:paraId="3602E49F" w14:textId="77777777" w:rsidR="004F3853" w:rsidRDefault="004F3853" w:rsidP="00FD7306">
      <w:pPr>
        <w:pStyle w:val="AllensHeading4"/>
      </w:pPr>
      <w:r>
        <w:t xml:space="preserve">For the </w:t>
      </w:r>
      <w:r w:rsidR="000665CF">
        <w:t>b</w:t>
      </w:r>
      <w:r>
        <w:t>uyer:</w:t>
      </w:r>
    </w:p>
    <w:p w14:paraId="28096FEB" w14:textId="5715AAFB" w:rsidR="004F3853" w:rsidRDefault="004F3853" w:rsidP="00FD7306">
      <w:pPr>
        <w:pStyle w:val="AllensHeading5"/>
      </w:pPr>
      <w:r>
        <w:t xml:space="preserve">a copy of </w:t>
      </w:r>
      <w:r w:rsidR="008C587D">
        <w:t xml:space="preserve">their </w:t>
      </w:r>
      <w:r>
        <w:t>citizenship certificate;</w:t>
      </w:r>
    </w:p>
    <w:p w14:paraId="0D176124" w14:textId="2D8BD89F" w:rsidR="004F3853" w:rsidRDefault="004F3853" w:rsidP="00FD7306">
      <w:pPr>
        <w:pStyle w:val="AllensHeading5"/>
      </w:pPr>
      <w:r>
        <w:t>two photo</w:t>
      </w:r>
      <w:r w:rsidR="008C587D">
        <w:t>s</w:t>
      </w:r>
      <w:r>
        <w:t>; and</w:t>
      </w:r>
    </w:p>
    <w:p w14:paraId="54F66297" w14:textId="0B3B8A4A" w:rsidR="004F3853" w:rsidRDefault="008C587D" w:rsidP="00FD7306">
      <w:pPr>
        <w:pStyle w:val="AllensHeading5"/>
      </w:pPr>
      <w:r>
        <w:t xml:space="preserve">the applicable </w:t>
      </w:r>
      <w:r w:rsidR="004F3853">
        <w:t>fee.</w:t>
      </w:r>
    </w:p>
    <w:p w14:paraId="0B3123C2" w14:textId="02BF6E80" w:rsidR="004F3853" w:rsidRDefault="004F3853" w:rsidP="004F3853">
      <w:pPr>
        <w:ind w:left="1418"/>
      </w:pPr>
      <w:r>
        <w:t xml:space="preserve">The </w:t>
      </w:r>
      <w:r w:rsidR="008C587D">
        <w:t xml:space="preserve">Permanent Account </w:t>
      </w:r>
      <w:r>
        <w:t>Number</w:t>
      </w:r>
      <w:r w:rsidR="008C587D">
        <w:rPr>
          <w:rStyle w:val="FootnoteReference"/>
        </w:rPr>
        <w:footnoteReference w:id="70"/>
      </w:r>
      <w:r>
        <w:t xml:space="preserve"> of both parties is mandatory if the transaction value is above </w:t>
      </w:r>
      <w:r w:rsidR="00E67EA9">
        <w:t>one</w:t>
      </w:r>
      <w:r>
        <w:t xml:space="preserve"> crore.</w:t>
      </w:r>
    </w:p>
    <w:p w14:paraId="3CD231C5" w14:textId="2D20F8E1" w:rsidR="00743F31" w:rsidRPr="005A1A2E" w:rsidRDefault="00743F31" w:rsidP="00FD7306">
      <w:pPr>
        <w:pStyle w:val="NormalIndent"/>
        <w:ind w:left="1418"/>
      </w:pPr>
      <w:r>
        <w:t xml:space="preserve">Following the land registration process, </w:t>
      </w:r>
      <w:r w:rsidR="005B7AED">
        <w:t>the prescribed authority will prepare a land ownership registration certificate as evidence of ownership in the land as set out in the registration records.</w:t>
      </w:r>
      <w:r w:rsidR="005B7AED">
        <w:rPr>
          <w:rStyle w:val="FootnoteReference"/>
        </w:rPr>
        <w:footnoteReference w:id="71"/>
      </w:r>
    </w:p>
    <w:p w14:paraId="66CC2D14" w14:textId="64F89439" w:rsidR="002D47F2" w:rsidRPr="007F31AA" w:rsidRDefault="002D47F2" w:rsidP="00861359">
      <w:pPr>
        <w:pStyle w:val="AllensHeading3"/>
        <w:rPr>
          <w:b/>
        </w:rPr>
      </w:pPr>
      <w:r w:rsidRPr="007F31AA">
        <w:rPr>
          <w:b/>
        </w:rPr>
        <w:t>What non-legal documents or actions (e</w:t>
      </w:r>
      <w:r w:rsidR="00AC3AC6">
        <w:rPr>
          <w:b/>
        </w:rPr>
        <w:t>.</w:t>
      </w:r>
      <w:r w:rsidRPr="007F31AA">
        <w:rPr>
          <w:b/>
        </w:rPr>
        <w:t>g</w:t>
      </w:r>
      <w:r w:rsidR="00AC3AC6">
        <w:rPr>
          <w:b/>
        </w:rPr>
        <w:t>.</w:t>
      </w:r>
      <w:r w:rsidRPr="007F31AA">
        <w:rPr>
          <w:b/>
        </w:rPr>
        <w:t xml:space="preserve"> verbal agreements or handshakes) are used to create or transfer tenure?</w:t>
      </w:r>
    </w:p>
    <w:p w14:paraId="41EA424A" w14:textId="2F5B294C" w:rsidR="00E75B59" w:rsidRPr="00861359" w:rsidRDefault="00AD2168" w:rsidP="00E75B59">
      <w:pPr>
        <w:pStyle w:val="AllensHeading3"/>
        <w:numPr>
          <w:ilvl w:val="0"/>
          <w:numId w:val="0"/>
        </w:numPr>
        <w:ind w:left="1418"/>
      </w:pPr>
      <w:r>
        <w:t>Non-legal actions such a verbal agreements or handshakes cannot create or transfer land in Nepal.</w:t>
      </w:r>
    </w:p>
    <w:p w14:paraId="52FDEB8C" w14:textId="77777777" w:rsidR="002D47F2" w:rsidRPr="00A529FC" w:rsidRDefault="002D47F2" w:rsidP="00E273DA">
      <w:pPr>
        <w:pStyle w:val="AllensHeading2"/>
      </w:pPr>
      <w:bookmarkStart w:id="55" w:name="_Ref473990271"/>
      <w:bookmarkStart w:id="56" w:name="_Toc8914060"/>
      <w:bookmarkStart w:id="57" w:name="_Ref472535422"/>
      <w:r>
        <w:t>Customary ownership</w:t>
      </w:r>
      <w:bookmarkEnd w:id="55"/>
      <w:bookmarkEnd w:id="56"/>
    </w:p>
    <w:p w14:paraId="72422B74" w14:textId="574C133D" w:rsidR="002D47F2" w:rsidRPr="00EA4A68" w:rsidRDefault="002D47F2" w:rsidP="00861359">
      <w:pPr>
        <w:pStyle w:val="AllensHeading3"/>
        <w:rPr>
          <w:b/>
        </w:rPr>
      </w:pPr>
      <w:r w:rsidRPr="00233EFD">
        <w:rPr>
          <w:rFonts w:eastAsiaTheme="minorHAnsi"/>
          <w:b/>
        </w:rPr>
        <w:t>Is customary ownership of land legally recognised? If so, what is the basis for legal recognition (e</w:t>
      </w:r>
      <w:r w:rsidR="00AC3AC6">
        <w:rPr>
          <w:rFonts w:eastAsiaTheme="minorHAnsi"/>
          <w:b/>
        </w:rPr>
        <w:t>.</w:t>
      </w:r>
      <w:r w:rsidRPr="00233EFD">
        <w:rPr>
          <w:rFonts w:eastAsiaTheme="minorHAnsi"/>
          <w:b/>
        </w:rPr>
        <w:t>g</w:t>
      </w:r>
      <w:r w:rsidR="00AC3AC6">
        <w:rPr>
          <w:rFonts w:eastAsiaTheme="minorHAnsi"/>
          <w:b/>
        </w:rPr>
        <w:t>.</w:t>
      </w:r>
      <w:r w:rsidRPr="00233EFD">
        <w:rPr>
          <w:rFonts w:eastAsiaTheme="minorHAnsi"/>
          <w:b/>
        </w:rPr>
        <w:t xml:space="preserve"> constitution, national legislation)?</w:t>
      </w:r>
      <w:bookmarkEnd w:id="57"/>
    </w:p>
    <w:p w14:paraId="6F89F9EC" w14:textId="5D2DBFF4" w:rsidR="00EA4A68" w:rsidRDefault="00EA4A68" w:rsidP="00EA4A68">
      <w:pPr>
        <w:pStyle w:val="NormalIndent"/>
        <w:ind w:left="1418"/>
      </w:pPr>
      <w:r>
        <w:t xml:space="preserve">Customary ownership of land is not legally recognised in Nepal. </w:t>
      </w:r>
    </w:p>
    <w:p w14:paraId="1B45CB72" w14:textId="0D213DB4" w:rsidR="00EA4A68" w:rsidRDefault="00EA4A68" w:rsidP="00EA4A68">
      <w:pPr>
        <w:pStyle w:val="NormalIndent"/>
        <w:ind w:left="1418"/>
      </w:pPr>
      <w:r>
        <w:t xml:space="preserve">The Constitution only </w:t>
      </w:r>
      <w:r w:rsidRPr="004B7D65">
        <w:t xml:space="preserve">recognises 59 out of 81 </w:t>
      </w:r>
      <w:bookmarkStart w:id="58" w:name="_Hlk8913523"/>
      <w:r w:rsidR="00CA1F42" w:rsidRPr="004B7D65">
        <w:t>indigenous peoples (</w:t>
      </w:r>
      <w:r w:rsidRPr="004B7D65">
        <w:rPr>
          <w:b/>
          <w:i/>
        </w:rPr>
        <w:t>IPs</w:t>
      </w:r>
      <w:r w:rsidR="00CA1F42" w:rsidRPr="004B7D65">
        <w:t>)</w:t>
      </w:r>
      <w:r w:rsidRPr="004B7D65">
        <w:t xml:space="preserve"> </w:t>
      </w:r>
      <w:bookmarkEnd w:id="58"/>
      <w:r w:rsidRPr="004B7D65">
        <w:t>in</w:t>
      </w:r>
      <w:r>
        <w:t xml:space="preserve"> Nepal and although the Constitution </w:t>
      </w:r>
      <w:r w:rsidR="00817C18">
        <w:t xml:space="preserve">makes </w:t>
      </w:r>
      <w:r>
        <w:t xml:space="preserve">provision for 'special, protected and autonomous regions' for IPs, this has not eventuated. In fact, </w:t>
      </w:r>
      <w:r w:rsidR="00817C18">
        <w:t>the G</w:t>
      </w:r>
      <w:r>
        <w:t>overnment</w:t>
      </w:r>
      <w:r w:rsidR="00817C18">
        <w:t>'s</w:t>
      </w:r>
      <w:r>
        <w:t xml:space="preserve"> policy regarding State restructuring and other development initiatives (such as declaring national parks, road expansion projects and hydropower station development) </w:t>
      </w:r>
      <w:r w:rsidR="00817C18">
        <w:t xml:space="preserve">has </w:t>
      </w:r>
      <w:r>
        <w:t xml:space="preserve">led to </w:t>
      </w:r>
      <w:r w:rsidR="00817C18">
        <w:t xml:space="preserve">the division of </w:t>
      </w:r>
      <w:r>
        <w:t>IPs</w:t>
      </w:r>
      <w:r w:rsidR="008B0523">
        <w:t>'</w:t>
      </w:r>
      <w:r>
        <w:t xml:space="preserve"> land and territory, </w:t>
      </w:r>
      <w:r w:rsidR="00817C18">
        <w:t xml:space="preserve">and the exclusion of </w:t>
      </w:r>
      <w:r>
        <w:t>IPs from decision</w:t>
      </w:r>
      <w:r w:rsidR="00817C18">
        <w:t>-</w:t>
      </w:r>
      <w:r>
        <w:t>making process</w:t>
      </w:r>
      <w:r w:rsidR="00817C18">
        <w:t>es</w:t>
      </w:r>
      <w:r>
        <w:t>.</w:t>
      </w:r>
      <w:r>
        <w:rPr>
          <w:rStyle w:val="FootnoteReference"/>
        </w:rPr>
        <w:footnoteReference w:id="72"/>
      </w:r>
      <w:r>
        <w:t xml:space="preserve"> </w:t>
      </w:r>
    </w:p>
    <w:p w14:paraId="5F9A9FDE" w14:textId="0F4FF6BB" w:rsidR="00EA4A68" w:rsidRDefault="00EA4A68" w:rsidP="00EA4A68">
      <w:pPr>
        <w:pStyle w:val="NormalIndent"/>
        <w:ind w:left="1418"/>
      </w:pPr>
      <w:r>
        <w:t xml:space="preserve">Further, Nepal does not </w:t>
      </w:r>
      <w:r w:rsidR="008712E6">
        <w:t xml:space="preserve">have laws </w:t>
      </w:r>
      <w:r w:rsidR="004F3853">
        <w:t xml:space="preserve">specifically </w:t>
      </w:r>
      <w:r w:rsidR="008712E6">
        <w:t xml:space="preserve">recognising </w:t>
      </w:r>
      <w:r>
        <w:t>the 'rights to lands, territories and natural resources of IPs'</w:t>
      </w:r>
      <w:r w:rsidR="000665CF">
        <w:t>,</w:t>
      </w:r>
      <w:r w:rsidR="004F3853">
        <w:t xml:space="preserve"> because </w:t>
      </w:r>
      <w:r w:rsidR="000665CF">
        <w:t>people</w:t>
      </w:r>
      <w:r w:rsidR="008712E6">
        <w:t>s' land rights are treated uniformly</w:t>
      </w:r>
      <w:r w:rsidR="004F3853">
        <w:t>.</w:t>
      </w:r>
      <w:r>
        <w:rPr>
          <w:rStyle w:val="FootnoteReference"/>
        </w:rPr>
        <w:footnoteReference w:id="73"/>
      </w:r>
      <w:r>
        <w:t xml:space="preserve"> </w:t>
      </w:r>
      <w:r w:rsidR="008712E6">
        <w:t>However, t</w:t>
      </w:r>
      <w:r>
        <w:t xml:space="preserve">he </w:t>
      </w:r>
      <w:bookmarkStart w:id="60" w:name="_Hlk8913535"/>
      <w:r>
        <w:t>United Nations Committee on the Elimination of Racial Discrimination (</w:t>
      </w:r>
      <w:r w:rsidRPr="00987B73">
        <w:rPr>
          <w:b/>
          <w:i/>
        </w:rPr>
        <w:t>UNCERD</w:t>
      </w:r>
      <w:r>
        <w:t>)</w:t>
      </w:r>
      <w:bookmarkEnd w:id="60"/>
      <w:r>
        <w:t xml:space="preserve"> is currently concerned about the absence of such laws.</w:t>
      </w:r>
      <w:r>
        <w:rPr>
          <w:rStyle w:val="FootnoteReference"/>
        </w:rPr>
        <w:footnoteReference w:id="74"/>
      </w:r>
      <w:r>
        <w:t xml:space="preserve"> The Alternative Report of the Indigenous Peoples of Nepal submitted by a group of IP representative bodies to the UNCERD made a number of recommendations including recognising IPs</w:t>
      </w:r>
      <w:r w:rsidR="008712E6">
        <w:t>'</w:t>
      </w:r>
      <w:r>
        <w:t xml:space="preserve"> right</w:t>
      </w:r>
      <w:r w:rsidR="008712E6">
        <w:t>s</w:t>
      </w:r>
      <w:r>
        <w:t xml:space="preserve"> over lands, territories and natural resources as well as ensuring IPs are represented in the planning, implementing and monitoring of development projects.</w:t>
      </w:r>
      <w:r>
        <w:rPr>
          <w:rStyle w:val="FootnoteReference"/>
        </w:rPr>
        <w:footnoteReference w:id="75"/>
      </w:r>
      <w:r>
        <w:t xml:space="preserve"> </w:t>
      </w:r>
    </w:p>
    <w:p w14:paraId="49F3DE1E" w14:textId="77777777" w:rsidR="00EA4A68" w:rsidRPr="00EA4A68" w:rsidRDefault="00987B73" w:rsidP="00EA4A68">
      <w:pPr>
        <w:pStyle w:val="NormalIndent"/>
        <w:ind w:left="1418"/>
      </w:pPr>
      <w:r>
        <w:t>T</w:t>
      </w:r>
      <w:r w:rsidR="00EA4A68">
        <w:t>he National Land Policy is currently being drafted and although it has been released to a few key stakeholders, it is not yet available to the public.</w:t>
      </w:r>
      <w:r w:rsidR="00EA4A68">
        <w:rPr>
          <w:rStyle w:val="FootnoteReference"/>
        </w:rPr>
        <w:footnoteReference w:id="76"/>
      </w:r>
      <w:r w:rsidR="00EA4A68">
        <w:t xml:space="preserve"> This legal framework is expected to include improvements for IPs.</w:t>
      </w:r>
    </w:p>
    <w:p w14:paraId="2B9CEFE7" w14:textId="77777777" w:rsidR="002D47F2" w:rsidRDefault="002D47F2" w:rsidP="00E273DA">
      <w:pPr>
        <w:pStyle w:val="AllensHeading2"/>
      </w:pPr>
      <w:bookmarkStart w:id="63" w:name="_Toc8914061"/>
      <w:bookmarkStart w:id="64" w:name="Informal_settle"/>
      <w:r>
        <w:t>Informal settlements</w:t>
      </w:r>
      <w:bookmarkEnd w:id="63"/>
    </w:p>
    <w:bookmarkEnd w:id="64"/>
    <w:p w14:paraId="3EAC43F0" w14:textId="77777777" w:rsidR="002D47F2" w:rsidRPr="00233EFD" w:rsidRDefault="002D47F2" w:rsidP="00861359">
      <w:pPr>
        <w:pStyle w:val="AllensHeading3"/>
        <w:rPr>
          <w:b/>
        </w:rPr>
      </w:pPr>
      <w:r w:rsidRPr="00233EFD">
        <w:rPr>
          <w:b/>
        </w:rPr>
        <w:t>What are the locations and boundaries of informal settlements?</w:t>
      </w:r>
    </w:p>
    <w:p w14:paraId="71B731EA" w14:textId="39219DF6" w:rsidR="00233EFD" w:rsidRPr="00861359" w:rsidRDefault="003F1099" w:rsidP="00233EFD">
      <w:pPr>
        <w:pStyle w:val="AllensHeading3"/>
        <w:numPr>
          <w:ilvl w:val="0"/>
          <w:numId w:val="0"/>
        </w:numPr>
        <w:tabs>
          <w:tab w:val="left" w:pos="720"/>
        </w:tabs>
        <w:ind w:left="1418"/>
      </w:pPr>
      <w:r>
        <w:t>It is estimated that 10% of Nepal's population live in informal settlements.</w:t>
      </w:r>
      <w:r>
        <w:rPr>
          <w:rStyle w:val="FootnoteReference"/>
        </w:rPr>
        <w:footnoteReference w:id="77"/>
      </w:r>
      <w:r>
        <w:t xml:space="preserve"> Rapid urbanisation continues to drive </w:t>
      </w:r>
      <w:r w:rsidR="008712E6">
        <w:t xml:space="preserve">the </w:t>
      </w:r>
      <w:r>
        <w:t>growth</w:t>
      </w:r>
      <w:r w:rsidR="008712E6">
        <w:t xml:space="preserve"> of such settlements</w:t>
      </w:r>
      <w:r>
        <w:t>, particularly in cities like Kathmandu, Dharan, Birgunj, Bharatpur and Pokhara.</w:t>
      </w:r>
      <w:r>
        <w:rPr>
          <w:rStyle w:val="FootnoteReference"/>
        </w:rPr>
        <w:footnoteReference w:id="78"/>
      </w:r>
      <w:r>
        <w:t xml:space="preserve"> Most informal settlements encroach riversides, roadsides and public open spaces, which are continually under threat from natural disasters and communicable diseases.</w:t>
      </w:r>
      <w:r w:rsidR="00233EFD">
        <w:rPr>
          <w:rStyle w:val="FootnoteReference"/>
        </w:rPr>
        <w:footnoteReference w:id="79"/>
      </w:r>
      <w:r w:rsidR="00233EFD">
        <w:t xml:space="preserve"> In 2012, Kathmandu city alone had an estimated 29 riverside squatter settlements and 17 settlements located in other areas of the city.</w:t>
      </w:r>
      <w:r w:rsidR="00233EFD">
        <w:rPr>
          <w:rStyle w:val="FootnoteReference"/>
        </w:rPr>
        <w:footnoteReference w:id="80"/>
      </w:r>
      <w:r w:rsidR="00233EFD">
        <w:t xml:space="preserve"> This figure has likely increased. </w:t>
      </w:r>
      <w:r>
        <w:t>Informal settlements in Nepal tend to be highly varied in respect of ethnicity, caste, place of origin, family structure and reason for squatting.</w:t>
      </w:r>
      <w:r>
        <w:rPr>
          <w:rStyle w:val="FootnoteReference"/>
        </w:rPr>
        <w:footnoteReference w:id="81"/>
      </w:r>
    </w:p>
    <w:p w14:paraId="1C02D525" w14:textId="77777777" w:rsidR="002D47F2" w:rsidRPr="00233EFD" w:rsidRDefault="002D47F2" w:rsidP="00861359">
      <w:pPr>
        <w:pStyle w:val="AllensHeading3"/>
        <w:rPr>
          <w:b/>
        </w:rPr>
      </w:pPr>
      <w:r w:rsidRPr="00233EFD">
        <w:rPr>
          <w:b/>
        </w:rPr>
        <w:t>What kinds of tenure arrangements are in place in informal settlements?</w:t>
      </w:r>
    </w:p>
    <w:p w14:paraId="33B7BF17" w14:textId="6B2BB81B" w:rsidR="00233EFD" w:rsidRDefault="00233EFD" w:rsidP="00233EFD">
      <w:pPr>
        <w:pStyle w:val="AllensHeading3"/>
        <w:numPr>
          <w:ilvl w:val="0"/>
          <w:numId w:val="0"/>
        </w:numPr>
        <w:tabs>
          <w:tab w:val="left" w:pos="720"/>
        </w:tabs>
        <w:ind w:left="1418"/>
      </w:pPr>
      <w:r>
        <w:t xml:space="preserve">Those living in informal settlements do not have secure tenure or land title documentation. </w:t>
      </w:r>
      <w:r w:rsidR="003F1099">
        <w:t xml:space="preserve">The </w:t>
      </w:r>
      <w:r w:rsidR="00817C18">
        <w:t>G</w:t>
      </w:r>
      <w:r w:rsidR="003F1099">
        <w:t xml:space="preserve">overnment regularly notes that security of tenure for those in settlements is a complex issue, but </w:t>
      </w:r>
      <w:r w:rsidR="00343EB3">
        <w:t xml:space="preserve">not much has been </w:t>
      </w:r>
      <w:r w:rsidR="003F1099">
        <w:t>done to rectify the problem.</w:t>
      </w:r>
      <w:r w:rsidR="003F1099">
        <w:rPr>
          <w:rStyle w:val="FootnoteReference"/>
        </w:rPr>
        <w:footnoteReference w:id="82"/>
      </w:r>
      <w:r w:rsidR="003F1099">
        <w:t xml:space="preserve"> In reality, lack of an effective policy has left the </w:t>
      </w:r>
      <w:r w:rsidR="00817C18">
        <w:t>G</w:t>
      </w:r>
      <w:r w:rsidR="003F1099">
        <w:t>overnment with no real alternative other than to tolerate the presence of informal settlements.</w:t>
      </w:r>
      <w:r w:rsidR="003F1099">
        <w:rPr>
          <w:rStyle w:val="FootnoteReference"/>
        </w:rPr>
        <w:footnoteReference w:id="83"/>
      </w:r>
      <w:r>
        <w:t xml:space="preserve"> </w:t>
      </w:r>
    </w:p>
    <w:p w14:paraId="2B2A963F" w14:textId="79C9FA1F" w:rsidR="00233EFD" w:rsidRPr="00233EFD" w:rsidRDefault="008712E6" w:rsidP="00233EFD">
      <w:pPr>
        <w:pStyle w:val="AllensHeading3"/>
        <w:numPr>
          <w:ilvl w:val="0"/>
          <w:numId w:val="0"/>
        </w:numPr>
        <w:tabs>
          <w:tab w:val="left" w:pos="720"/>
        </w:tabs>
        <w:ind w:left="1418"/>
      </w:pPr>
      <w:r>
        <w:t>T</w:t>
      </w:r>
      <w:r w:rsidR="00233EFD">
        <w:t xml:space="preserve">enure security </w:t>
      </w:r>
      <w:r>
        <w:t xml:space="preserve">varies </w:t>
      </w:r>
      <w:r w:rsidR="00233EFD">
        <w:t xml:space="preserve">from settlement to settlement. In those that are more established, occupants </w:t>
      </w:r>
      <w:r>
        <w:t xml:space="preserve">may </w:t>
      </w:r>
      <w:r w:rsidR="00233EFD">
        <w:t>have a significant level of 'de facto land tenure'.</w:t>
      </w:r>
      <w:r w:rsidR="00233EFD">
        <w:rPr>
          <w:rStyle w:val="FootnoteReference"/>
        </w:rPr>
        <w:footnoteReference w:id="84"/>
      </w:r>
      <w:r w:rsidR="00233EFD">
        <w:t xml:space="preserve"> This is because they have existed for 20 or so years and their large population sizes offer a level of security. This is particularly the case for large settlements located within the Kathmandu Valley, some of which include permanent houses, schools, businesses and various other public buildings.</w:t>
      </w:r>
      <w:r w:rsidR="00233EFD">
        <w:rPr>
          <w:rStyle w:val="FootnoteReference"/>
        </w:rPr>
        <w:footnoteReference w:id="85"/>
      </w:r>
      <w:r w:rsidR="00233EFD">
        <w:t xml:space="preserve"> </w:t>
      </w:r>
    </w:p>
    <w:p w14:paraId="1BD2ADE7" w14:textId="4FABDEBE" w:rsidR="00233EFD" w:rsidRPr="00861359" w:rsidRDefault="003F1099" w:rsidP="00233EFD">
      <w:pPr>
        <w:pStyle w:val="AllensHeading3"/>
        <w:numPr>
          <w:ilvl w:val="0"/>
          <w:numId w:val="0"/>
        </w:numPr>
        <w:ind w:left="1418"/>
      </w:pPr>
      <w:r>
        <w:t>Two informal settlement federations have been recognised in Nepal under the initiative of Lumanti. Nepal Basobas Basti Samrakchan Smaj focuses on security of tenure and land rights, whilst Nepal Mahila Ekta Smaj champions the rights of women living in informal settlements.</w:t>
      </w:r>
      <w:r>
        <w:rPr>
          <w:rStyle w:val="FootnoteReference"/>
        </w:rPr>
        <w:footnoteReference w:id="86"/>
      </w:r>
    </w:p>
    <w:p w14:paraId="7C66478A" w14:textId="77777777" w:rsidR="002D47F2" w:rsidRDefault="002D47F2" w:rsidP="00E273DA">
      <w:pPr>
        <w:pStyle w:val="AllensHeading1"/>
        <w:rPr>
          <w:rFonts w:eastAsiaTheme="minorHAnsi"/>
          <w:lang w:eastAsia="en-US"/>
        </w:rPr>
      </w:pPr>
      <w:bookmarkStart w:id="68" w:name="_Toc8914062"/>
      <w:bookmarkStart w:id="69" w:name="Security_of_tenure_of_vulnerable_group"/>
      <w:r>
        <w:rPr>
          <w:rFonts w:eastAsiaTheme="minorHAnsi"/>
          <w:lang w:eastAsia="en-US"/>
        </w:rPr>
        <w:t>Security of tenure of vulnerable groups</w:t>
      </w:r>
      <w:bookmarkEnd w:id="68"/>
    </w:p>
    <w:p w14:paraId="7AD3640D" w14:textId="77777777" w:rsidR="002D47F2" w:rsidRPr="003D241A" w:rsidRDefault="002D47F2" w:rsidP="00E273DA">
      <w:pPr>
        <w:pStyle w:val="AllensHeading2"/>
        <w:rPr>
          <w:rFonts w:eastAsiaTheme="minorHAnsi"/>
          <w:iCs/>
          <w:lang w:val="en-GB" w:eastAsia="en-US"/>
        </w:rPr>
      </w:pPr>
      <w:bookmarkStart w:id="70" w:name="_Ref473989892"/>
      <w:bookmarkStart w:id="71" w:name="_Toc8914063"/>
      <w:bookmarkStart w:id="72" w:name="Women"/>
      <w:bookmarkEnd w:id="69"/>
      <w:r>
        <w:rPr>
          <w:rFonts w:eastAsiaTheme="minorHAnsi"/>
          <w:iCs/>
          <w:lang w:val="en-GB" w:eastAsia="en-US"/>
        </w:rPr>
        <w:t>Women</w:t>
      </w:r>
      <w:bookmarkEnd w:id="70"/>
      <w:bookmarkEnd w:id="71"/>
    </w:p>
    <w:bookmarkEnd w:id="72"/>
    <w:p w14:paraId="1AB24EB8" w14:textId="77777777" w:rsidR="002D47F2" w:rsidRPr="00BE375E" w:rsidRDefault="002D47F2" w:rsidP="00861359">
      <w:pPr>
        <w:pStyle w:val="AllensHeading3"/>
        <w:rPr>
          <w:rFonts w:eastAsiaTheme="minorHAnsi"/>
          <w:b/>
        </w:rPr>
      </w:pPr>
      <w:r w:rsidRPr="00BE375E">
        <w:rPr>
          <w:rFonts w:eastAsiaTheme="minorHAnsi"/>
          <w:b/>
        </w:rPr>
        <w:t>Can women legally own, rent or inherit land and housing?</w:t>
      </w:r>
    </w:p>
    <w:p w14:paraId="4582B665" w14:textId="760FE6F2" w:rsidR="00BE375E" w:rsidRDefault="00BE375E" w:rsidP="00BE375E">
      <w:pPr>
        <w:pStyle w:val="NormalIndent"/>
        <w:ind w:left="1418"/>
      </w:pPr>
      <w:r>
        <w:t xml:space="preserve">Both </w:t>
      </w:r>
      <w:r w:rsidR="00413AA6">
        <w:t>men and women</w:t>
      </w:r>
      <w:r>
        <w:t xml:space="preserve"> have equal rights </w:t>
      </w:r>
      <w:r w:rsidR="00410343">
        <w:t xml:space="preserve">in respect of </w:t>
      </w:r>
      <w:r>
        <w:t>land and property in Nepal</w:t>
      </w:r>
      <w:r w:rsidR="00987B73">
        <w:t xml:space="preserve">, </w:t>
      </w:r>
      <w:r w:rsidR="00413AA6">
        <w:t xml:space="preserve">and </w:t>
      </w:r>
      <w:r w:rsidR="00410343">
        <w:t xml:space="preserve">gender-based </w:t>
      </w:r>
      <w:r w:rsidR="00413AA6">
        <w:t xml:space="preserve">discrimination is </w:t>
      </w:r>
      <w:r w:rsidR="00410343">
        <w:t>prohibited</w:t>
      </w:r>
      <w:r>
        <w:t>.</w:t>
      </w:r>
      <w:r>
        <w:rPr>
          <w:rStyle w:val="FootnoteReference"/>
        </w:rPr>
        <w:footnoteReference w:id="87"/>
      </w:r>
      <w:r>
        <w:t xml:space="preserve"> </w:t>
      </w:r>
      <w:r w:rsidR="00413AA6">
        <w:t>The</w:t>
      </w:r>
      <w:r>
        <w:t xml:space="preserve"> property rights </w:t>
      </w:r>
      <w:r w:rsidR="00413AA6">
        <w:t xml:space="preserve">of women in Nepal </w:t>
      </w:r>
      <w:r>
        <w:t xml:space="preserve">are outlined in the </w:t>
      </w:r>
      <w:r w:rsidR="005D2B95">
        <w:t>Civil Code</w:t>
      </w:r>
      <w:r w:rsidR="00FD4D4C">
        <w:t>.</w:t>
      </w:r>
    </w:p>
    <w:p w14:paraId="429C1A75" w14:textId="0F4F9D8A" w:rsidR="005D2B95" w:rsidRDefault="00C057BA">
      <w:pPr>
        <w:pStyle w:val="AllensHeading4"/>
      </w:pPr>
      <w:r>
        <w:t>A w</w:t>
      </w:r>
      <w:r w:rsidR="005231BC">
        <w:t>om</w:t>
      </w:r>
      <w:r>
        <w:t>a</w:t>
      </w:r>
      <w:r w:rsidR="005231BC">
        <w:t xml:space="preserve">n's </w:t>
      </w:r>
      <w:r w:rsidR="005D2B95">
        <w:t xml:space="preserve">right to own </w:t>
      </w:r>
      <w:r w:rsidR="005D2B95" w:rsidRPr="001911AA">
        <w:t>property</w:t>
      </w:r>
      <w:r w:rsidR="005D2B95">
        <w:t xml:space="preserve"> </w:t>
      </w:r>
    </w:p>
    <w:p w14:paraId="79AFC534" w14:textId="77777777" w:rsidR="005D2B95" w:rsidRDefault="005D2B95" w:rsidP="005D2B95">
      <w:pPr>
        <w:pStyle w:val="Bullet2"/>
        <w:numPr>
          <w:ilvl w:val="0"/>
          <w:numId w:val="0"/>
        </w:numPr>
        <w:ind w:left="2126"/>
      </w:pPr>
      <w:r>
        <w:t xml:space="preserve">Property will be considered a woman's private property if she has: </w:t>
      </w:r>
    </w:p>
    <w:p w14:paraId="672D5FC3" w14:textId="77777777" w:rsidR="005D2B95" w:rsidRDefault="005D2B95" w:rsidP="00FD7306">
      <w:pPr>
        <w:pStyle w:val="Bullet3"/>
        <w:tabs>
          <w:tab w:val="clear" w:pos="2126"/>
          <w:tab w:val="num" w:pos="2834"/>
        </w:tabs>
        <w:ind w:left="2834"/>
      </w:pPr>
      <w:r>
        <w:t xml:space="preserve">earned and obtained the property before marriage; </w:t>
      </w:r>
    </w:p>
    <w:p w14:paraId="52BFB00E" w14:textId="77777777" w:rsidR="005D2B95" w:rsidRDefault="005D2B95" w:rsidP="00FD7306">
      <w:pPr>
        <w:pStyle w:val="Bullet3"/>
        <w:tabs>
          <w:tab w:val="clear" w:pos="2126"/>
          <w:tab w:val="num" w:pos="2834"/>
        </w:tabs>
        <w:ind w:left="2834"/>
      </w:pPr>
      <w:r>
        <w:t xml:space="preserve">obtained the property from her maternal relatives during marriage; </w:t>
      </w:r>
    </w:p>
    <w:p w14:paraId="1ED1D85D" w14:textId="77777777" w:rsidR="005D2B95" w:rsidRDefault="005D2B95" w:rsidP="00FD7306">
      <w:pPr>
        <w:pStyle w:val="Bullet3"/>
        <w:tabs>
          <w:tab w:val="clear" w:pos="2126"/>
          <w:tab w:val="num" w:pos="2834"/>
        </w:tabs>
        <w:ind w:left="2834"/>
      </w:pPr>
      <w:r>
        <w:t xml:space="preserve">had the property given to her in writing by her husband or by the consent of all coparceners from the side of her husband rendering </w:t>
      </w:r>
      <w:r w:rsidR="008712E6">
        <w:t xml:space="preserve">it </w:t>
      </w:r>
      <w:r>
        <w:t xml:space="preserve">as property having her sole right; </w:t>
      </w:r>
    </w:p>
    <w:p w14:paraId="73662200" w14:textId="77777777" w:rsidR="005D2B95" w:rsidRDefault="005D2B95" w:rsidP="00FD7306">
      <w:pPr>
        <w:pStyle w:val="Bullet3"/>
        <w:tabs>
          <w:tab w:val="clear" w:pos="2126"/>
          <w:tab w:val="num" w:pos="2834"/>
        </w:tabs>
        <w:ind w:left="2834"/>
      </w:pPr>
      <w:r>
        <w:t xml:space="preserve">obtained movable or immovable property from </w:t>
      </w:r>
      <w:r w:rsidR="008712E6">
        <w:t xml:space="preserve">paternal </w:t>
      </w:r>
      <w:r>
        <w:t>relatives; or</w:t>
      </w:r>
    </w:p>
    <w:p w14:paraId="30335F60" w14:textId="77777777" w:rsidR="005D2B95" w:rsidRDefault="005D2B95" w:rsidP="00FD7306">
      <w:pPr>
        <w:pStyle w:val="Bullet3"/>
        <w:tabs>
          <w:tab w:val="clear" w:pos="2126"/>
          <w:tab w:val="num" w:pos="2834"/>
        </w:tabs>
        <w:ind w:left="2834"/>
      </w:pPr>
      <w:r>
        <w:t>increased the property.</w:t>
      </w:r>
      <w:r>
        <w:rPr>
          <w:rStyle w:val="FootnoteReference"/>
        </w:rPr>
        <w:footnoteReference w:id="88"/>
      </w:r>
      <w:r>
        <w:t xml:space="preserve"> </w:t>
      </w:r>
    </w:p>
    <w:p w14:paraId="3DDEA5A4" w14:textId="77777777" w:rsidR="008712E6" w:rsidRDefault="005D2B95" w:rsidP="005D2B95">
      <w:pPr>
        <w:pStyle w:val="Bullet2"/>
        <w:numPr>
          <w:ilvl w:val="0"/>
          <w:numId w:val="0"/>
        </w:numPr>
        <w:ind w:left="2126"/>
      </w:pPr>
      <w:r>
        <w:t xml:space="preserve">In all such cases, </w:t>
      </w:r>
      <w:r w:rsidR="008712E6">
        <w:t xml:space="preserve">a </w:t>
      </w:r>
      <w:r>
        <w:t>woman shall have the right to own and dispose of such property at her will.</w:t>
      </w:r>
      <w:r>
        <w:rPr>
          <w:rStyle w:val="FootnoteReference"/>
        </w:rPr>
        <w:footnoteReference w:id="89"/>
      </w:r>
      <w:r>
        <w:t xml:space="preserve"> </w:t>
      </w:r>
    </w:p>
    <w:p w14:paraId="21854E29" w14:textId="5E3A4893" w:rsidR="005D2B95" w:rsidRDefault="005D2B95" w:rsidP="005D2B95">
      <w:pPr>
        <w:pStyle w:val="Bullet2"/>
        <w:numPr>
          <w:ilvl w:val="0"/>
          <w:numId w:val="0"/>
        </w:numPr>
        <w:ind w:left="2126"/>
      </w:pPr>
      <w:r>
        <w:t>An adopted daughter ha</w:t>
      </w:r>
      <w:r w:rsidR="008712E6">
        <w:t>s</w:t>
      </w:r>
      <w:r>
        <w:t xml:space="preserve"> the </w:t>
      </w:r>
      <w:r w:rsidR="008712E6">
        <w:t xml:space="preserve">same </w:t>
      </w:r>
      <w:r>
        <w:t xml:space="preserve">rights </w:t>
      </w:r>
      <w:r w:rsidR="008712E6">
        <w:t xml:space="preserve">in relation to her </w:t>
      </w:r>
      <w:r w:rsidR="005231BC">
        <w:t xml:space="preserve">adoptive </w:t>
      </w:r>
      <w:r w:rsidR="008712E6">
        <w:t xml:space="preserve">parents </w:t>
      </w:r>
      <w:r>
        <w:t xml:space="preserve">as </w:t>
      </w:r>
      <w:r w:rsidR="008712E6">
        <w:t>a '</w:t>
      </w:r>
      <w:r>
        <w:t>natural</w:t>
      </w:r>
      <w:r w:rsidR="008712E6">
        <w:t>'</w:t>
      </w:r>
      <w:r>
        <w:t xml:space="preserve"> daughter </w:t>
      </w:r>
      <w:r w:rsidR="008712E6">
        <w:t>has in relation to her 'natural' parents.</w:t>
      </w:r>
      <w:r>
        <w:rPr>
          <w:rStyle w:val="FootnoteReference"/>
        </w:rPr>
        <w:footnoteReference w:id="90"/>
      </w:r>
      <w:r>
        <w:t xml:space="preserve"> </w:t>
      </w:r>
      <w:r w:rsidR="008712E6">
        <w:t xml:space="preserve">However, an adopted daughter </w:t>
      </w:r>
      <w:r>
        <w:t>cannot claim property from her natural parents unless the adopted status no longer exists</w:t>
      </w:r>
      <w:r w:rsidR="008712E6">
        <w:t>,</w:t>
      </w:r>
      <w:r>
        <w:t xml:space="preserve"> or the adopted daughter receive</w:t>
      </w:r>
      <w:r w:rsidR="008712E6">
        <w:t>d</w:t>
      </w:r>
      <w:r>
        <w:t xml:space="preserve"> property before being adopted.</w:t>
      </w:r>
      <w:r>
        <w:rPr>
          <w:rStyle w:val="FootnoteReference"/>
        </w:rPr>
        <w:footnoteReference w:id="91"/>
      </w:r>
    </w:p>
    <w:p w14:paraId="12143C9C" w14:textId="130D10E5" w:rsidR="005D2B95" w:rsidRDefault="00C057BA" w:rsidP="005D2B95">
      <w:pPr>
        <w:pStyle w:val="AllensHeading4"/>
      </w:pPr>
      <w:r>
        <w:t>A w</w:t>
      </w:r>
      <w:r w:rsidR="005231BC">
        <w:t>om</w:t>
      </w:r>
      <w:r>
        <w:t>an'</w:t>
      </w:r>
      <w:r w:rsidR="005231BC">
        <w:t xml:space="preserve">s right to </w:t>
      </w:r>
      <w:r w:rsidR="005D2B95">
        <w:t>use property</w:t>
      </w:r>
    </w:p>
    <w:p w14:paraId="2D65EB9D" w14:textId="7066B6B2" w:rsidR="00CB4058" w:rsidRDefault="005D2B95" w:rsidP="005D2B95">
      <w:pPr>
        <w:pStyle w:val="AllensHeading4"/>
        <w:numPr>
          <w:ilvl w:val="0"/>
          <w:numId w:val="0"/>
        </w:numPr>
        <w:ind w:left="2126"/>
      </w:pPr>
      <w:r>
        <w:t xml:space="preserve">A woman who owns property </w:t>
      </w:r>
      <w:r w:rsidR="00C057BA">
        <w:t xml:space="preserve">has </w:t>
      </w:r>
      <w:r>
        <w:t>the right to</w:t>
      </w:r>
      <w:r w:rsidR="00CB4058">
        <w:t xml:space="preserve">: </w:t>
      </w:r>
    </w:p>
    <w:p w14:paraId="3A0CAFB1" w14:textId="77777777" w:rsidR="00CB4058" w:rsidRDefault="005D2B95" w:rsidP="00FD7306">
      <w:pPr>
        <w:pStyle w:val="Bullet3"/>
        <w:tabs>
          <w:tab w:val="clear" w:pos="2126"/>
          <w:tab w:val="num" w:pos="2834"/>
        </w:tabs>
        <w:ind w:left="2834"/>
      </w:pPr>
      <w:r>
        <w:t>use, sell or otherwise transfer</w:t>
      </w:r>
      <w:r w:rsidR="00CB4058">
        <w:t xml:space="preserve"> the property; </w:t>
      </w:r>
    </w:p>
    <w:p w14:paraId="13BCE1FC" w14:textId="77777777" w:rsidR="00CB4058" w:rsidRDefault="005D2B95" w:rsidP="00FD7306">
      <w:pPr>
        <w:pStyle w:val="Bullet3"/>
        <w:tabs>
          <w:tab w:val="clear" w:pos="2126"/>
          <w:tab w:val="num" w:pos="2834"/>
        </w:tabs>
        <w:ind w:left="2834"/>
      </w:pPr>
      <w:r>
        <w:t xml:space="preserve">keep </w:t>
      </w:r>
      <w:r w:rsidR="00CB4058">
        <w:t xml:space="preserve">the </w:t>
      </w:r>
      <w:r>
        <w:t>property as mortgage or security</w:t>
      </w:r>
      <w:r w:rsidR="008712E6">
        <w:t>;</w:t>
      </w:r>
    </w:p>
    <w:p w14:paraId="50363B5D" w14:textId="77777777" w:rsidR="00CB4058" w:rsidRDefault="005D2B95" w:rsidP="00FD7306">
      <w:pPr>
        <w:pStyle w:val="Bullet3"/>
        <w:tabs>
          <w:tab w:val="clear" w:pos="2126"/>
          <w:tab w:val="num" w:pos="2834"/>
        </w:tabs>
        <w:ind w:left="2834"/>
      </w:pPr>
      <w:r>
        <w:t xml:space="preserve">make any transaction of, </w:t>
      </w:r>
      <w:r w:rsidR="00CB4058">
        <w:t xml:space="preserve">or </w:t>
      </w:r>
      <w:r>
        <w:t xml:space="preserve">in any manner earn profits from, </w:t>
      </w:r>
      <w:r w:rsidR="00CB4058">
        <w:t xml:space="preserve">the property; </w:t>
      </w:r>
    </w:p>
    <w:p w14:paraId="4B904F2D" w14:textId="77777777" w:rsidR="00CB4058" w:rsidRDefault="00D45C50" w:rsidP="00FD7306">
      <w:pPr>
        <w:pStyle w:val="Bullet3"/>
        <w:tabs>
          <w:tab w:val="clear" w:pos="2126"/>
          <w:tab w:val="num" w:pos="2834"/>
        </w:tabs>
        <w:ind w:left="2834"/>
      </w:pPr>
      <w:r>
        <w:t xml:space="preserve">make </w:t>
      </w:r>
      <w:r w:rsidR="005D2B95">
        <w:t xml:space="preserve">use </w:t>
      </w:r>
      <w:r>
        <w:t xml:space="preserve">of the area below, and space above, the </w:t>
      </w:r>
      <w:r w:rsidR="005D2B95">
        <w:t>property</w:t>
      </w:r>
      <w:r w:rsidR="00CB4058">
        <w:t>;</w:t>
      </w:r>
      <w:r w:rsidR="005D2B95">
        <w:t xml:space="preserve"> </w:t>
      </w:r>
    </w:p>
    <w:p w14:paraId="7A3A5CDE" w14:textId="77777777" w:rsidR="00CB4058" w:rsidRDefault="005D2B95" w:rsidP="00FD7306">
      <w:pPr>
        <w:pStyle w:val="Bullet3"/>
        <w:tabs>
          <w:tab w:val="clear" w:pos="2126"/>
          <w:tab w:val="num" w:pos="2834"/>
        </w:tabs>
        <w:ind w:left="2834"/>
      </w:pPr>
      <w:r>
        <w:t xml:space="preserve">destroy or terminate </w:t>
      </w:r>
      <w:r w:rsidR="00D45C50">
        <w:t>the</w:t>
      </w:r>
      <w:r>
        <w:t xml:space="preserve"> property</w:t>
      </w:r>
      <w:r w:rsidR="00CB4058">
        <w:t>;</w:t>
      </w:r>
      <w:r>
        <w:t xml:space="preserve"> </w:t>
      </w:r>
    </w:p>
    <w:p w14:paraId="2C09A397" w14:textId="77777777" w:rsidR="00CB4058" w:rsidRDefault="005D2B95" w:rsidP="00FD7306">
      <w:pPr>
        <w:pStyle w:val="Bullet3"/>
        <w:tabs>
          <w:tab w:val="clear" w:pos="2126"/>
          <w:tab w:val="num" w:pos="2834"/>
        </w:tabs>
        <w:ind w:left="2834"/>
      </w:pPr>
      <w:r>
        <w:t>change the nature of the property</w:t>
      </w:r>
      <w:r w:rsidR="00CB4058">
        <w:t>;</w:t>
      </w:r>
    </w:p>
    <w:p w14:paraId="08D5A3E9" w14:textId="77777777" w:rsidR="00CB4058" w:rsidRDefault="005D2B95" w:rsidP="00FD7306">
      <w:pPr>
        <w:pStyle w:val="Bullet3"/>
        <w:tabs>
          <w:tab w:val="clear" w:pos="2126"/>
          <w:tab w:val="num" w:pos="2834"/>
        </w:tabs>
        <w:ind w:left="2834"/>
      </w:pPr>
      <w:r>
        <w:t xml:space="preserve">protect </w:t>
      </w:r>
      <w:r w:rsidR="00CB4058">
        <w:t xml:space="preserve">the property </w:t>
      </w:r>
      <w:r>
        <w:t>in any manner</w:t>
      </w:r>
      <w:r w:rsidR="00CB4058">
        <w:t>,</w:t>
      </w:r>
      <w:r>
        <w:t xml:space="preserve"> including </w:t>
      </w:r>
      <w:r w:rsidR="00D45C50">
        <w:t xml:space="preserve">by </w:t>
      </w:r>
      <w:r>
        <w:t>constructing buildings, wall</w:t>
      </w:r>
      <w:r w:rsidR="00CB4058">
        <w:t>s</w:t>
      </w:r>
      <w:r>
        <w:t>, fence</w:t>
      </w:r>
      <w:r w:rsidR="00D45C50">
        <w:t>s</w:t>
      </w:r>
      <w:r>
        <w:t xml:space="preserve"> or boundaries</w:t>
      </w:r>
      <w:r w:rsidR="00D45C50">
        <w:t xml:space="preserve"> around the property</w:t>
      </w:r>
      <w:r w:rsidR="00CB4058">
        <w:t>;</w:t>
      </w:r>
      <w:r>
        <w:t xml:space="preserve"> and </w:t>
      </w:r>
    </w:p>
    <w:p w14:paraId="06FDE323" w14:textId="77777777" w:rsidR="005D2B95" w:rsidRDefault="005D2B95" w:rsidP="00FD7306">
      <w:pPr>
        <w:pStyle w:val="Bullet3"/>
        <w:tabs>
          <w:tab w:val="clear" w:pos="2126"/>
          <w:tab w:val="num" w:pos="2834"/>
        </w:tabs>
        <w:ind w:left="2834"/>
      </w:pPr>
      <w:r>
        <w:t xml:space="preserve">conduct legal proceedings </w:t>
      </w:r>
      <w:r w:rsidR="00D45C50">
        <w:t xml:space="preserve">to </w:t>
      </w:r>
      <w:r>
        <w:t xml:space="preserve">obtain or protect </w:t>
      </w:r>
      <w:r w:rsidR="00D45C50">
        <w:t xml:space="preserve">the </w:t>
      </w:r>
      <w:r>
        <w:t>property</w:t>
      </w:r>
      <w:r w:rsidR="00CB4058">
        <w:t>.</w:t>
      </w:r>
      <w:r>
        <w:rPr>
          <w:rStyle w:val="FootnoteReference"/>
        </w:rPr>
        <w:footnoteReference w:id="92"/>
      </w:r>
    </w:p>
    <w:p w14:paraId="54FF5FC0" w14:textId="42C56094" w:rsidR="005D2B95" w:rsidRPr="002E31F9" w:rsidRDefault="00C057BA" w:rsidP="005D2B95">
      <w:pPr>
        <w:pStyle w:val="AllensHeading4"/>
        <w:rPr>
          <w:lang w:val="en-US" w:bidi="ne-NP"/>
        </w:rPr>
      </w:pPr>
      <w:r>
        <w:rPr>
          <w:lang w:val="en-US" w:bidi="ne-NP"/>
        </w:rPr>
        <w:t xml:space="preserve">A woman's rights in </w:t>
      </w:r>
      <w:r w:rsidR="005D2B95">
        <w:rPr>
          <w:lang w:val="en-US" w:bidi="ne-NP"/>
        </w:rPr>
        <w:t>shared property</w:t>
      </w:r>
    </w:p>
    <w:p w14:paraId="64091EC4" w14:textId="77777777" w:rsidR="005D2B95" w:rsidRDefault="00D45C50" w:rsidP="005D2B95">
      <w:pPr>
        <w:pStyle w:val="AllensHeading3"/>
        <w:numPr>
          <w:ilvl w:val="0"/>
          <w:numId w:val="0"/>
        </w:numPr>
        <w:ind w:left="2126"/>
      </w:pPr>
      <w:r>
        <w:t>P</w:t>
      </w:r>
      <w:r w:rsidR="005D2B95">
        <w:t xml:space="preserve">roperty earned by </w:t>
      </w:r>
      <w:r>
        <w:t xml:space="preserve">either a </w:t>
      </w:r>
      <w:r w:rsidR="005D2B95">
        <w:t xml:space="preserve">wife or husband </w:t>
      </w:r>
      <w:r>
        <w:t>(</w:t>
      </w:r>
      <w:r w:rsidR="005D2B95">
        <w:t xml:space="preserve">in </w:t>
      </w:r>
      <w:r>
        <w:t>the same</w:t>
      </w:r>
      <w:r w:rsidR="005D2B95">
        <w:t xml:space="preserve"> family</w:t>
      </w:r>
      <w:r>
        <w:t>)</w:t>
      </w:r>
      <w:r w:rsidR="005D2B95">
        <w:t xml:space="preserve"> is considered shared property of </w:t>
      </w:r>
      <w:r>
        <w:t xml:space="preserve">both, </w:t>
      </w:r>
      <w:r w:rsidR="00CB4058">
        <w:t xml:space="preserve">other than </w:t>
      </w:r>
      <w:r w:rsidR="005D2B95">
        <w:t>in the case of legal separation</w:t>
      </w:r>
      <w:r w:rsidR="00CB4058">
        <w:t>.</w:t>
      </w:r>
      <w:r w:rsidR="005D2B95">
        <w:rPr>
          <w:rStyle w:val="FootnoteReference"/>
        </w:rPr>
        <w:footnoteReference w:id="93"/>
      </w:r>
    </w:p>
    <w:p w14:paraId="4CEE331F" w14:textId="77777777" w:rsidR="005D2B95" w:rsidRDefault="005D2B95" w:rsidP="005D2B95">
      <w:pPr>
        <w:pStyle w:val="AllensHeading4"/>
      </w:pPr>
      <w:r>
        <w:t>Los</w:t>
      </w:r>
      <w:r w:rsidRPr="00C00062">
        <w:t>s of property rights</w:t>
      </w:r>
      <w:r>
        <w:t xml:space="preserve"> as a result of </w:t>
      </w:r>
      <w:r w:rsidR="00CB4058">
        <w:t>d</w:t>
      </w:r>
      <w:r>
        <w:t>ivorce</w:t>
      </w:r>
    </w:p>
    <w:p w14:paraId="692C1802" w14:textId="77777777" w:rsidR="005D2B95" w:rsidRDefault="00CB4058" w:rsidP="005D2B95">
      <w:pPr>
        <w:pStyle w:val="AllensHeading4"/>
        <w:numPr>
          <w:ilvl w:val="0"/>
          <w:numId w:val="0"/>
        </w:numPr>
        <w:ind w:left="2126"/>
      </w:pPr>
      <w:r>
        <w:t xml:space="preserve">A </w:t>
      </w:r>
      <w:r w:rsidR="005D2B95">
        <w:t>husband is not obliged to provide</w:t>
      </w:r>
      <w:r w:rsidR="00D45C50">
        <w:t xml:space="preserve"> any part of shared</w:t>
      </w:r>
      <w:r w:rsidR="005D2B95">
        <w:t xml:space="preserve"> property </w:t>
      </w:r>
      <w:r w:rsidR="00D45C50">
        <w:t xml:space="preserve">to (or otherwise meet the expenses of) his </w:t>
      </w:r>
      <w:r w:rsidR="005D2B95">
        <w:t>wife</w:t>
      </w:r>
      <w:r w:rsidR="005D2B95">
        <w:rPr>
          <w:rStyle w:val="FootnoteReference"/>
        </w:rPr>
        <w:footnoteReference w:id="94"/>
      </w:r>
      <w:r w:rsidR="005D2B95">
        <w:t xml:space="preserve"> if the husband and wife divorce </w:t>
      </w:r>
      <w:r>
        <w:t>in the following circumstances</w:t>
      </w:r>
      <w:r w:rsidR="005D2B95">
        <w:t>:</w:t>
      </w:r>
    </w:p>
    <w:p w14:paraId="5BA1E635" w14:textId="77777777" w:rsidR="005D2B95" w:rsidRDefault="00CB4058" w:rsidP="005D2B95">
      <w:pPr>
        <w:pStyle w:val="AllensHeading4"/>
        <w:numPr>
          <w:ilvl w:val="0"/>
          <w:numId w:val="24"/>
        </w:numPr>
      </w:pPr>
      <w:r>
        <w:t>i</w:t>
      </w:r>
      <w:r w:rsidR="005D2B95">
        <w:t xml:space="preserve">f the wife deprives </w:t>
      </w:r>
      <w:r>
        <w:t xml:space="preserve">the husband of </w:t>
      </w:r>
      <w:r w:rsidR="005D2B95">
        <w:t>food and clothes</w:t>
      </w:r>
      <w:r>
        <w:t>,</w:t>
      </w:r>
      <w:r w:rsidR="005D2B95">
        <w:t xml:space="preserve"> or banishe</w:t>
      </w:r>
      <w:r>
        <w:t>s him</w:t>
      </w:r>
      <w:r w:rsidR="005D2B95">
        <w:t xml:space="preserve"> from </w:t>
      </w:r>
      <w:r>
        <w:t xml:space="preserve">the </w:t>
      </w:r>
      <w:r w:rsidR="005D2B95">
        <w:t>home</w:t>
      </w:r>
      <w:r>
        <w:t>;</w:t>
      </w:r>
      <w:r w:rsidR="005D2B95">
        <w:rPr>
          <w:rStyle w:val="FootnoteReference"/>
        </w:rPr>
        <w:footnoteReference w:id="95"/>
      </w:r>
    </w:p>
    <w:p w14:paraId="6D096527" w14:textId="77777777" w:rsidR="005D2B95" w:rsidRDefault="00CB4058" w:rsidP="005D2B95">
      <w:pPr>
        <w:pStyle w:val="AllensHeading4"/>
        <w:numPr>
          <w:ilvl w:val="0"/>
          <w:numId w:val="24"/>
        </w:numPr>
      </w:pPr>
      <w:r>
        <w:t>i</w:t>
      </w:r>
      <w:r w:rsidR="005D2B95">
        <w:t>f the wife carries out any act o</w:t>
      </w:r>
      <w:r w:rsidR="00D45C50">
        <w:t>f</w:t>
      </w:r>
      <w:r w:rsidR="005D2B95">
        <w:t xml:space="preserve"> intrigue or conspiracy designed to lead to </w:t>
      </w:r>
      <w:r>
        <w:t xml:space="preserve">the husband's </w:t>
      </w:r>
      <w:r w:rsidR="005D2B95">
        <w:t>physical disability or result in any severe physical or mental suffering</w:t>
      </w:r>
      <w:r>
        <w:t>;</w:t>
      </w:r>
      <w:r w:rsidR="005D2B95">
        <w:rPr>
          <w:rStyle w:val="FootnoteReference"/>
        </w:rPr>
        <w:footnoteReference w:id="96"/>
      </w:r>
      <w:r w:rsidR="005D2B95">
        <w:t xml:space="preserve"> or</w:t>
      </w:r>
    </w:p>
    <w:p w14:paraId="1C7A8A92" w14:textId="77777777" w:rsidR="005D2B95" w:rsidRPr="00C00062" w:rsidRDefault="00CB4058" w:rsidP="005D2B95">
      <w:pPr>
        <w:pStyle w:val="AllensHeading4"/>
        <w:numPr>
          <w:ilvl w:val="0"/>
          <w:numId w:val="24"/>
        </w:numPr>
      </w:pPr>
      <w:r>
        <w:t>t</w:t>
      </w:r>
      <w:r w:rsidR="005D2B95">
        <w:t xml:space="preserve">he wife is held to have </w:t>
      </w:r>
      <w:r>
        <w:t xml:space="preserve">had </w:t>
      </w:r>
      <w:r w:rsidR="005D2B95">
        <w:t>sexual intercourse with any other man</w:t>
      </w:r>
      <w:r>
        <w:t>.</w:t>
      </w:r>
      <w:r w:rsidR="005D2B95">
        <w:rPr>
          <w:rStyle w:val="FootnoteReference"/>
        </w:rPr>
        <w:footnoteReference w:id="97"/>
      </w:r>
    </w:p>
    <w:p w14:paraId="12F15220" w14:textId="55CCDDAA" w:rsidR="00BE375E" w:rsidRDefault="00413AA6" w:rsidP="00BE375E">
      <w:pPr>
        <w:pStyle w:val="AllensHeading4"/>
      </w:pPr>
      <w:r>
        <w:t>The r</w:t>
      </w:r>
      <w:r w:rsidR="00BE375E">
        <w:t xml:space="preserve">ight </w:t>
      </w:r>
      <w:r>
        <w:t xml:space="preserve">for </w:t>
      </w:r>
      <w:r w:rsidR="00C057BA">
        <w:t xml:space="preserve">a woman </w:t>
      </w:r>
      <w:r>
        <w:t>to be treated equally</w:t>
      </w:r>
      <w:r w:rsidR="00BE375E">
        <w:t xml:space="preserve"> in respect of inherited property </w:t>
      </w:r>
    </w:p>
    <w:p w14:paraId="4EE85ADC" w14:textId="2BBE2A40" w:rsidR="00BE375E" w:rsidRPr="00BE375E" w:rsidRDefault="00CB4058" w:rsidP="00BE375E">
      <w:pPr>
        <w:pStyle w:val="Bullet2"/>
        <w:numPr>
          <w:ilvl w:val="0"/>
          <w:numId w:val="0"/>
        </w:numPr>
        <w:ind w:left="2126"/>
      </w:pPr>
      <w:r>
        <w:t>A</w:t>
      </w:r>
      <w:r w:rsidR="00BE375E">
        <w:t>ll citizens of Nepal are equal before law, meaning that all offspring shall have equal right to ancestral property without discrimination on the ground of gender.</w:t>
      </w:r>
      <w:r w:rsidR="00BE375E">
        <w:rPr>
          <w:rStyle w:val="FootnoteReference"/>
        </w:rPr>
        <w:footnoteReference w:id="98"/>
      </w:r>
    </w:p>
    <w:p w14:paraId="42F27D78" w14:textId="77777777" w:rsidR="002D47F2" w:rsidRPr="00EA4A68" w:rsidRDefault="002D47F2" w:rsidP="00861359">
      <w:pPr>
        <w:pStyle w:val="AllensHeading3"/>
        <w:rPr>
          <w:rFonts w:eastAsiaTheme="minorHAnsi"/>
          <w:b/>
        </w:rPr>
      </w:pPr>
      <w:r w:rsidRPr="00EA4A68">
        <w:rPr>
          <w:rFonts w:eastAsiaTheme="minorHAnsi"/>
          <w:b/>
        </w:rPr>
        <w:t>In practice, do they? If not, why not?</w:t>
      </w:r>
    </w:p>
    <w:p w14:paraId="6BC42C5F" w14:textId="3D7CCC2D" w:rsidR="00BE375E" w:rsidRPr="00567883" w:rsidRDefault="00BE375E" w:rsidP="00BE375E">
      <w:pPr>
        <w:pStyle w:val="Bullet2"/>
        <w:numPr>
          <w:ilvl w:val="0"/>
          <w:numId w:val="0"/>
        </w:numPr>
        <w:ind w:left="1418"/>
        <w:rPr>
          <w:lang w:val="en"/>
        </w:rPr>
      </w:pPr>
      <w:r>
        <w:t>In practice, t</w:t>
      </w:r>
      <w:r w:rsidRPr="00567883">
        <w:t xml:space="preserve">here are barriers which prevent women </w:t>
      </w:r>
      <w:r>
        <w:t xml:space="preserve">claiming </w:t>
      </w:r>
      <w:r w:rsidRPr="00567883">
        <w:t xml:space="preserve">property </w:t>
      </w:r>
      <w:r w:rsidR="00410343">
        <w:t>entitlements</w:t>
      </w:r>
      <w:r w:rsidRPr="00567883">
        <w:t xml:space="preserve">. </w:t>
      </w:r>
      <w:r>
        <w:rPr>
          <w:lang w:val="en"/>
        </w:rPr>
        <w:t xml:space="preserve">The International Organization for Migration reported in 2016 that </w:t>
      </w:r>
      <w:r w:rsidRPr="00567883">
        <w:rPr>
          <w:lang w:val="en"/>
        </w:rPr>
        <w:t>19.7</w:t>
      </w:r>
      <w:r w:rsidR="00833C6F">
        <w:rPr>
          <w:lang w:val="en"/>
        </w:rPr>
        <w:t>% of women own around 5%</w:t>
      </w:r>
      <w:r w:rsidRPr="00567883">
        <w:rPr>
          <w:lang w:val="en"/>
        </w:rPr>
        <w:t xml:space="preserve"> of land throughout Nepal, and only around 11</w:t>
      </w:r>
      <w:r w:rsidR="00833C6F">
        <w:rPr>
          <w:lang w:val="en"/>
        </w:rPr>
        <w:t xml:space="preserve">% </w:t>
      </w:r>
      <w:r w:rsidRPr="00567883">
        <w:rPr>
          <w:lang w:val="en"/>
        </w:rPr>
        <w:t>have effective control over their property</w:t>
      </w:r>
      <w:r w:rsidRPr="00833C6F">
        <w:rPr>
          <w:rFonts w:cs="Arial"/>
          <w:lang w:val="en"/>
        </w:rPr>
        <w:t>.</w:t>
      </w:r>
      <w:r w:rsidRPr="00833C6F">
        <w:rPr>
          <w:rStyle w:val="FootnoteReference"/>
          <w:rFonts w:cs="Arial"/>
          <w:lang w:val="en"/>
        </w:rPr>
        <w:footnoteReference w:id="99"/>
      </w:r>
      <w:r w:rsidRPr="00833C6F">
        <w:rPr>
          <w:rFonts w:cs="Arial"/>
          <w:lang w:val="en"/>
        </w:rPr>
        <w:t xml:space="preserve"> Some</w:t>
      </w:r>
      <w:r w:rsidRPr="00833C6F">
        <w:rPr>
          <w:lang w:val="en"/>
        </w:rPr>
        <w:t xml:space="preserve"> </w:t>
      </w:r>
      <w:r>
        <w:rPr>
          <w:lang w:val="en"/>
        </w:rPr>
        <w:t xml:space="preserve">of the common barriers preventing women from accessing their property rights include: </w:t>
      </w:r>
    </w:p>
    <w:p w14:paraId="5FE73929" w14:textId="77777777" w:rsidR="00BE375E" w:rsidRPr="00BC6D5B" w:rsidRDefault="00BE375E" w:rsidP="00BE375E">
      <w:pPr>
        <w:pStyle w:val="level4"/>
        <w:numPr>
          <w:ilvl w:val="3"/>
          <w:numId w:val="17"/>
        </w:numPr>
      </w:pPr>
      <w:r>
        <w:t>Access to a citizen</w:t>
      </w:r>
      <w:r w:rsidR="00D45C50">
        <w:t>ship</w:t>
      </w:r>
      <w:r>
        <w:t xml:space="preserve"> ce</w:t>
      </w:r>
      <w:r w:rsidRPr="00BC6D5B">
        <w:t xml:space="preserve">rtificate </w:t>
      </w:r>
    </w:p>
    <w:p w14:paraId="4488D574" w14:textId="409ACA41" w:rsidR="00BE375E" w:rsidRPr="00135EE6" w:rsidRDefault="00D45C50">
      <w:pPr>
        <w:pStyle w:val="NormalIndent"/>
        <w:ind w:left="2126"/>
        <w:rPr>
          <w:rFonts w:eastAsiaTheme="minorHAnsi" w:cs="Arial"/>
        </w:rPr>
      </w:pPr>
      <w:r>
        <w:rPr>
          <w:rFonts w:cs="Arial"/>
        </w:rPr>
        <w:t>Only Nepalese citizens in possession of a citizenship certificate can own land in Nepal.</w:t>
      </w:r>
      <w:r w:rsidR="00413AA6">
        <w:rPr>
          <w:rStyle w:val="FootnoteReference"/>
          <w:rFonts w:cs="Arial"/>
        </w:rPr>
        <w:footnoteReference w:id="100"/>
      </w:r>
      <w:r w:rsidR="00833C6F">
        <w:rPr>
          <w:rFonts w:cs="Arial"/>
        </w:rPr>
        <w:t xml:space="preserve"> </w:t>
      </w:r>
      <w:r>
        <w:rPr>
          <w:rFonts w:cs="Arial"/>
        </w:rPr>
        <w:t xml:space="preserve">Yet, </w:t>
      </w:r>
      <w:r w:rsidR="00413AA6">
        <w:rPr>
          <w:rFonts w:cs="Arial"/>
        </w:rPr>
        <w:t xml:space="preserve">in </w:t>
      </w:r>
      <w:r w:rsidR="00BE375E" w:rsidRPr="00135EE6">
        <w:rPr>
          <w:rFonts w:cs="Arial"/>
        </w:rPr>
        <w:t>2015</w:t>
      </w:r>
      <w:r>
        <w:rPr>
          <w:rFonts w:cs="Arial"/>
        </w:rPr>
        <w:t>,</w:t>
      </w:r>
      <w:r w:rsidR="00BE375E" w:rsidRPr="00135EE6">
        <w:rPr>
          <w:rFonts w:cs="Arial"/>
        </w:rPr>
        <w:t xml:space="preserve"> only</w:t>
      </w:r>
      <w:r w:rsidR="00833C6F">
        <w:rPr>
          <w:rFonts w:cs="Arial"/>
        </w:rPr>
        <w:t xml:space="preserve"> 74% </w:t>
      </w:r>
      <w:r w:rsidR="00BE375E" w:rsidRPr="00135EE6">
        <w:rPr>
          <w:rFonts w:cs="Arial"/>
        </w:rPr>
        <w:t xml:space="preserve">of eligible women </w:t>
      </w:r>
      <w:r w:rsidR="00833C6F">
        <w:rPr>
          <w:rFonts w:cs="Arial"/>
        </w:rPr>
        <w:t xml:space="preserve">were </w:t>
      </w:r>
      <w:r w:rsidR="00BE375E" w:rsidRPr="00135EE6">
        <w:rPr>
          <w:rFonts w:cs="Arial"/>
        </w:rPr>
        <w:t>documented as Nepal</w:t>
      </w:r>
      <w:r w:rsidR="00092F5E">
        <w:rPr>
          <w:rFonts w:cs="Arial"/>
        </w:rPr>
        <w:t>ese</w:t>
      </w:r>
      <w:r w:rsidR="00BE375E" w:rsidRPr="00135EE6">
        <w:rPr>
          <w:rFonts w:cs="Arial"/>
        </w:rPr>
        <w:t xml:space="preserve"> citizens.</w:t>
      </w:r>
      <w:r w:rsidR="00BE375E" w:rsidRPr="00135EE6">
        <w:rPr>
          <w:rStyle w:val="FootnoteReference"/>
          <w:rFonts w:cs="Arial"/>
        </w:rPr>
        <w:footnoteReference w:id="101"/>
      </w:r>
      <w:r w:rsidR="00BE375E" w:rsidRPr="00135EE6">
        <w:rPr>
          <w:rFonts w:cs="Arial"/>
        </w:rPr>
        <w:t xml:space="preserve"> </w:t>
      </w:r>
      <w:r w:rsidR="00BD4346">
        <w:rPr>
          <w:rFonts w:cs="Arial"/>
        </w:rPr>
        <w:t xml:space="preserve">In 2014, </w:t>
      </w:r>
      <w:r w:rsidR="00BD4346">
        <w:rPr>
          <w:rFonts w:eastAsiaTheme="minorHAnsi" w:cs="Arial"/>
        </w:rPr>
        <w:t>t</w:t>
      </w:r>
      <w:r w:rsidR="00BE375E" w:rsidRPr="00135EE6">
        <w:rPr>
          <w:rFonts w:eastAsiaTheme="minorHAnsi" w:cs="Arial"/>
        </w:rPr>
        <w:t xml:space="preserve">he </w:t>
      </w:r>
      <w:r w:rsidR="00876A1D">
        <w:rPr>
          <w:rFonts w:eastAsiaTheme="minorHAnsi" w:cs="Arial"/>
        </w:rPr>
        <w:t>FWLD</w:t>
      </w:r>
      <w:r w:rsidR="00BE375E" w:rsidRPr="00135EE6">
        <w:rPr>
          <w:rFonts w:eastAsiaTheme="minorHAnsi" w:cs="Arial"/>
        </w:rPr>
        <w:t xml:space="preserve"> reported </w:t>
      </w:r>
      <w:r w:rsidR="00BE375E">
        <w:rPr>
          <w:rFonts w:eastAsiaTheme="minorHAnsi" w:cs="Arial"/>
        </w:rPr>
        <w:t>that 5.1</w:t>
      </w:r>
      <w:r w:rsidR="00876A1D">
        <w:rPr>
          <w:rFonts w:eastAsiaTheme="minorHAnsi" w:cs="Arial"/>
        </w:rPr>
        <w:t>%</w:t>
      </w:r>
      <w:r w:rsidR="00BE375E">
        <w:rPr>
          <w:rFonts w:eastAsiaTheme="minorHAnsi" w:cs="Arial"/>
        </w:rPr>
        <w:t xml:space="preserve"> </w:t>
      </w:r>
      <w:r w:rsidR="00BE375E" w:rsidRPr="00135EE6">
        <w:rPr>
          <w:rFonts w:eastAsiaTheme="minorHAnsi" w:cs="Arial"/>
        </w:rPr>
        <w:t>of undocumented citizens did not apply for a citizen</w:t>
      </w:r>
      <w:r w:rsidR="00410343">
        <w:rPr>
          <w:rFonts w:eastAsiaTheme="minorHAnsi" w:cs="Arial"/>
        </w:rPr>
        <w:t>ship</w:t>
      </w:r>
      <w:r w:rsidR="00BE375E" w:rsidRPr="00135EE6">
        <w:rPr>
          <w:rFonts w:eastAsiaTheme="minorHAnsi" w:cs="Arial"/>
        </w:rPr>
        <w:t xml:space="preserve"> certificate </w:t>
      </w:r>
      <w:r w:rsidR="00BD4346">
        <w:rPr>
          <w:rFonts w:eastAsiaTheme="minorHAnsi" w:cs="Arial"/>
        </w:rPr>
        <w:t>because of</w:t>
      </w:r>
      <w:r w:rsidR="00BE375E" w:rsidRPr="00135EE6">
        <w:rPr>
          <w:rFonts w:eastAsiaTheme="minorHAnsi" w:cs="Arial"/>
        </w:rPr>
        <w:t xml:space="preserve"> uncooperative family members</w:t>
      </w:r>
      <w:r w:rsidR="00876A1D">
        <w:rPr>
          <w:rFonts w:eastAsiaTheme="minorHAnsi" w:cs="Arial"/>
        </w:rPr>
        <w:t>,</w:t>
      </w:r>
      <w:r w:rsidR="00BE375E">
        <w:rPr>
          <w:rFonts w:eastAsiaTheme="minorHAnsi" w:cs="Arial"/>
        </w:rPr>
        <w:t xml:space="preserve"> and of this 5.1</w:t>
      </w:r>
      <w:r w:rsidR="00876A1D">
        <w:rPr>
          <w:rFonts w:eastAsiaTheme="minorHAnsi" w:cs="Arial"/>
        </w:rPr>
        <w:t>%</w:t>
      </w:r>
      <w:r w:rsidR="00BE375E">
        <w:rPr>
          <w:rFonts w:eastAsiaTheme="minorHAnsi" w:cs="Arial"/>
        </w:rPr>
        <w:t>, 90</w:t>
      </w:r>
      <w:r w:rsidR="00876A1D">
        <w:rPr>
          <w:rFonts w:eastAsiaTheme="minorHAnsi" w:cs="Arial"/>
        </w:rPr>
        <w:t>%</w:t>
      </w:r>
      <w:r w:rsidR="00BE375E" w:rsidRPr="00135EE6">
        <w:rPr>
          <w:rFonts w:eastAsiaTheme="minorHAnsi" w:cs="Arial"/>
        </w:rPr>
        <w:t xml:space="preserve"> were women.</w:t>
      </w:r>
      <w:r w:rsidR="00BE375E" w:rsidRPr="00135EE6">
        <w:rPr>
          <w:rStyle w:val="FootnoteReference"/>
          <w:rFonts w:eastAsiaTheme="minorHAnsi" w:cs="Arial"/>
        </w:rPr>
        <w:footnoteReference w:id="102"/>
      </w:r>
      <w:r w:rsidR="00BE375E" w:rsidRPr="00135EE6">
        <w:rPr>
          <w:rFonts w:eastAsiaTheme="minorHAnsi" w:cs="Arial"/>
        </w:rPr>
        <w:t xml:space="preserve"> Musli</w:t>
      </w:r>
      <w:r>
        <w:rPr>
          <w:rFonts w:eastAsiaTheme="minorHAnsi" w:cs="Arial"/>
        </w:rPr>
        <w:t>m</w:t>
      </w:r>
      <w:r w:rsidR="00BE375E" w:rsidRPr="00135EE6">
        <w:rPr>
          <w:rFonts w:eastAsiaTheme="minorHAnsi" w:cs="Arial"/>
        </w:rPr>
        <w:t xml:space="preserve"> and madhesis women face the </w:t>
      </w:r>
      <w:r w:rsidR="00BD4346" w:rsidRPr="00135EE6">
        <w:rPr>
          <w:rFonts w:eastAsiaTheme="minorHAnsi" w:cs="Arial"/>
        </w:rPr>
        <w:t>add</w:t>
      </w:r>
      <w:r w:rsidR="00BD4346">
        <w:rPr>
          <w:rFonts w:eastAsiaTheme="minorHAnsi" w:cs="Arial"/>
        </w:rPr>
        <w:t>itional</w:t>
      </w:r>
      <w:r w:rsidR="00BD4346" w:rsidRPr="00135EE6">
        <w:rPr>
          <w:rFonts w:eastAsiaTheme="minorHAnsi" w:cs="Arial"/>
        </w:rPr>
        <w:t xml:space="preserve"> </w:t>
      </w:r>
      <w:r w:rsidR="00BE375E" w:rsidRPr="00135EE6">
        <w:rPr>
          <w:rFonts w:eastAsiaTheme="minorHAnsi" w:cs="Arial"/>
        </w:rPr>
        <w:t>issue of it not being culturally accept</w:t>
      </w:r>
      <w:r w:rsidR="00BD4346">
        <w:rPr>
          <w:rFonts w:eastAsiaTheme="minorHAnsi" w:cs="Arial"/>
        </w:rPr>
        <w:t>able</w:t>
      </w:r>
      <w:r w:rsidR="00BE375E" w:rsidRPr="00135EE6">
        <w:rPr>
          <w:rFonts w:eastAsiaTheme="minorHAnsi" w:cs="Arial"/>
        </w:rPr>
        <w:t xml:space="preserve"> for them to travel alone</w:t>
      </w:r>
      <w:r w:rsidR="00BD4346">
        <w:rPr>
          <w:rFonts w:eastAsiaTheme="minorHAnsi" w:cs="Arial"/>
        </w:rPr>
        <w:t xml:space="preserve"> – </w:t>
      </w:r>
      <w:r w:rsidR="00BE375E" w:rsidRPr="00135EE6">
        <w:rPr>
          <w:rFonts w:eastAsiaTheme="minorHAnsi" w:cs="Arial"/>
        </w:rPr>
        <w:t xml:space="preserve">travel is often </w:t>
      </w:r>
      <w:r w:rsidR="00BD4346">
        <w:rPr>
          <w:rFonts w:eastAsiaTheme="minorHAnsi" w:cs="Arial"/>
        </w:rPr>
        <w:t xml:space="preserve">required </w:t>
      </w:r>
      <w:r w:rsidR="00BE375E">
        <w:rPr>
          <w:rFonts w:eastAsiaTheme="minorHAnsi" w:cs="Arial"/>
        </w:rPr>
        <w:t>to obtain a citizen</w:t>
      </w:r>
      <w:r w:rsidR="00410343">
        <w:rPr>
          <w:rFonts w:eastAsiaTheme="minorHAnsi" w:cs="Arial"/>
        </w:rPr>
        <w:t>ship</w:t>
      </w:r>
      <w:r w:rsidR="00BE375E">
        <w:rPr>
          <w:rFonts w:eastAsiaTheme="minorHAnsi" w:cs="Arial"/>
        </w:rPr>
        <w:t xml:space="preserve"> certificate</w:t>
      </w:r>
      <w:r w:rsidR="00BD4346">
        <w:rPr>
          <w:rFonts w:eastAsiaTheme="minorHAnsi" w:cs="Arial"/>
        </w:rPr>
        <w:t xml:space="preserve"> as the certificate </w:t>
      </w:r>
      <w:r w:rsidR="00BE375E">
        <w:rPr>
          <w:rFonts w:eastAsiaTheme="minorHAnsi" w:cs="Arial"/>
        </w:rPr>
        <w:t xml:space="preserve">must </w:t>
      </w:r>
      <w:r w:rsidR="00BD4346">
        <w:rPr>
          <w:rFonts w:eastAsiaTheme="minorHAnsi" w:cs="Arial"/>
        </w:rPr>
        <w:t xml:space="preserve">be </w:t>
      </w:r>
      <w:r w:rsidR="00BE375E">
        <w:rPr>
          <w:rFonts w:eastAsiaTheme="minorHAnsi" w:cs="Arial"/>
        </w:rPr>
        <w:t>obtain</w:t>
      </w:r>
      <w:r w:rsidR="00BD4346">
        <w:rPr>
          <w:rFonts w:eastAsiaTheme="minorHAnsi" w:cs="Arial"/>
        </w:rPr>
        <w:t>ed</w:t>
      </w:r>
      <w:r w:rsidR="00BE375E">
        <w:rPr>
          <w:rFonts w:eastAsiaTheme="minorHAnsi" w:cs="Arial"/>
        </w:rPr>
        <w:t xml:space="preserve"> </w:t>
      </w:r>
      <w:r w:rsidR="00BE375E" w:rsidRPr="00135EE6">
        <w:rPr>
          <w:rFonts w:eastAsiaTheme="minorHAnsi" w:cs="Arial"/>
        </w:rPr>
        <w:t xml:space="preserve">in the region where </w:t>
      </w:r>
      <w:r w:rsidR="00BD4346">
        <w:rPr>
          <w:rFonts w:eastAsiaTheme="minorHAnsi" w:cs="Arial"/>
        </w:rPr>
        <w:t xml:space="preserve">an applicant's </w:t>
      </w:r>
      <w:r w:rsidR="00BE375E" w:rsidRPr="00135EE6">
        <w:rPr>
          <w:rFonts w:eastAsiaTheme="minorHAnsi" w:cs="Arial"/>
        </w:rPr>
        <w:t>father was born.</w:t>
      </w:r>
      <w:r w:rsidR="00BE375E">
        <w:rPr>
          <w:rStyle w:val="FootnoteReference"/>
          <w:rFonts w:eastAsiaTheme="minorHAnsi" w:cs="Arial"/>
        </w:rPr>
        <w:footnoteReference w:id="103"/>
      </w:r>
      <w:r w:rsidR="00BE375E" w:rsidRPr="00135EE6">
        <w:rPr>
          <w:rFonts w:eastAsiaTheme="minorHAnsi" w:cs="Arial"/>
        </w:rPr>
        <w:t xml:space="preserve"> </w:t>
      </w:r>
    </w:p>
    <w:p w14:paraId="50718AC5" w14:textId="2F60AAAF" w:rsidR="00BE375E" w:rsidRPr="00135EE6" w:rsidRDefault="00413AA6" w:rsidP="00BE375E">
      <w:pPr>
        <w:pStyle w:val="NormalIndent"/>
        <w:ind w:left="2126"/>
        <w:rPr>
          <w:rFonts w:eastAsiaTheme="minorHAnsi" w:cs="Arial"/>
        </w:rPr>
      </w:pPr>
      <w:r>
        <w:rPr>
          <w:rFonts w:eastAsiaTheme="minorHAnsi" w:cs="Arial"/>
        </w:rPr>
        <w:t>The CARE Report suggests that a</w:t>
      </w:r>
      <w:r w:rsidR="00BD4346">
        <w:rPr>
          <w:rFonts w:eastAsiaTheme="minorHAnsi" w:cs="Arial"/>
        </w:rPr>
        <w:t xml:space="preserve"> further </w:t>
      </w:r>
      <w:r w:rsidR="00BE375E" w:rsidRPr="00135EE6">
        <w:rPr>
          <w:rFonts w:eastAsiaTheme="minorHAnsi" w:cs="Arial"/>
        </w:rPr>
        <w:t>reason women struggle to access certificate</w:t>
      </w:r>
      <w:r w:rsidR="00BD4346">
        <w:rPr>
          <w:rFonts w:eastAsiaTheme="minorHAnsi" w:cs="Arial"/>
        </w:rPr>
        <w:t>s</w:t>
      </w:r>
      <w:r w:rsidR="00BE375E" w:rsidRPr="00135EE6">
        <w:rPr>
          <w:rFonts w:eastAsiaTheme="minorHAnsi" w:cs="Arial"/>
        </w:rPr>
        <w:t xml:space="preserve"> is </w:t>
      </w:r>
      <w:r w:rsidR="00BD4346">
        <w:rPr>
          <w:rFonts w:eastAsiaTheme="minorHAnsi" w:cs="Arial"/>
        </w:rPr>
        <w:t xml:space="preserve">that </w:t>
      </w:r>
      <w:r w:rsidR="00BE375E" w:rsidRPr="00135EE6">
        <w:rPr>
          <w:rFonts w:eastAsiaTheme="minorHAnsi" w:cs="Arial"/>
        </w:rPr>
        <w:t>many men do not want their daughters</w:t>
      </w:r>
      <w:r w:rsidR="00BD4346">
        <w:rPr>
          <w:rFonts w:eastAsiaTheme="minorHAnsi" w:cs="Arial"/>
        </w:rPr>
        <w:t>' citizenship</w:t>
      </w:r>
      <w:r w:rsidR="00BE375E" w:rsidRPr="00135EE6">
        <w:rPr>
          <w:rFonts w:eastAsiaTheme="minorHAnsi" w:cs="Arial"/>
        </w:rPr>
        <w:t xml:space="preserve"> documented</w:t>
      </w:r>
      <w:r w:rsidR="00BD4346">
        <w:rPr>
          <w:rFonts w:eastAsiaTheme="minorHAnsi" w:cs="Arial"/>
        </w:rPr>
        <w:t>,</w:t>
      </w:r>
      <w:r w:rsidR="00BE375E" w:rsidRPr="00135EE6">
        <w:rPr>
          <w:rFonts w:eastAsiaTheme="minorHAnsi" w:cs="Arial"/>
        </w:rPr>
        <w:t xml:space="preserve"> for the risk</w:t>
      </w:r>
      <w:r w:rsidR="00876A1D">
        <w:rPr>
          <w:rFonts w:eastAsiaTheme="minorHAnsi" w:cs="Arial"/>
        </w:rPr>
        <w:t xml:space="preserve"> that</w:t>
      </w:r>
      <w:r w:rsidR="00BD4346">
        <w:rPr>
          <w:rFonts w:eastAsiaTheme="minorHAnsi" w:cs="Arial"/>
        </w:rPr>
        <w:t xml:space="preserve"> their</w:t>
      </w:r>
      <w:r w:rsidR="00BE375E" w:rsidRPr="00135EE6">
        <w:rPr>
          <w:rFonts w:eastAsiaTheme="minorHAnsi" w:cs="Arial"/>
        </w:rPr>
        <w:t xml:space="preserve"> inheritance </w:t>
      </w:r>
      <w:r w:rsidR="00BD4346">
        <w:rPr>
          <w:rFonts w:eastAsiaTheme="minorHAnsi" w:cs="Arial"/>
        </w:rPr>
        <w:t xml:space="preserve">would </w:t>
      </w:r>
      <w:r w:rsidR="00BE375E" w:rsidRPr="00135EE6">
        <w:rPr>
          <w:rFonts w:eastAsiaTheme="minorHAnsi" w:cs="Arial"/>
        </w:rPr>
        <w:t>be divided</w:t>
      </w:r>
      <w:r w:rsidR="00BD4346">
        <w:rPr>
          <w:rFonts w:eastAsiaTheme="minorHAnsi" w:cs="Arial"/>
        </w:rPr>
        <w:t xml:space="preserve"> accordingly</w:t>
      </w:r>
      <w:r w:rsidR="00BE375E" w:rsidRPr="00135EE6">
        <w:rPr>
          <w:rFonts w:eastAsiaTheme="minorHAnsi" w:cs="Arial"/>
        </w:rPr>
        <w:t>.</w:t>
      </w:r>
      <w:r w:rsidR="00BE375E" w:rsidRPr="00135EE6">
        <w:rPr>
          <w:rStyle w:val="FootnoteReference"/>
          <w:rFonts w:eastAsiaTheme="minorHAnsi" w:cs="Arial"/>
        </w:rPr>
        <w:footnoteReference w:id="104"/>
      </w:r>
      <w:r w:rsidR="00BE375E" w:rsidRPr="00135EE6">
        <w:rPr>
          <w:rFonts w:eastAsiaTheme="minorHAnsi" w:cs="Arial"/>
        </w:rPr>
        <w:t xml:space="preserve"> </w:t>
      </w:r>
      <w:r w:rsidR="00BD4346">
        <w:rPr>
          <w:rFonts w:eastAsiaTheme="minorHAnsi" w:cs="Arial"/>
        </w:rPr>
        <w:t>T</w:t>
      </w:r>
      <w:r w:rsidR="00BE375E" w:rsidRPr="00135EE6">
        <w:rPr>
          <w:rFonts w:eastAsiaTheme="minorHAnsi" w:cs="Arial"/>
        </w:rPr>
        <w:t xml:space="preserve">reatment </w:t>
      </w:r>
      <w:r w:rsidR="00BD4346">
        <w:rPr>
          <w:rFonts w:eastAsiaTheme="minorHAnsi" w:cs="Arial"/>
        </w:rPr>
        <w:t xml:space="preserve">of this kind is inconsistent with </w:t>
      </w:r>
      <w:r w:rsidR="00BE375E" w:rsidRPr="00135EE6">
        <w:rPr>
          <w:rFonts w:eastAsiaTheme="minorHAnsi" w:cs="Arial"/>
        </w:rPr>
        <w:t>the Constitution</w:t>
      </w:r>
      <w:r>
        <w:rPr>
          <w:rFonts w:eastAsiaTheme="minorHAnsi" w:cs="Arial"/>
        </w:rPr>
        <w:t xml:space="preserve">'s prohibition of </w:t>
      </w:r>
      <w:r w:rsidR="00BD4346">
        <w:rPr>
          <w:rFonts w:eastAsiaTheme="minorHAnsi" w:cs="Arial"/>
        </w:rPr>
        <w:t xml:space="preserve">gender </w:t>
      </w:r>
      <w:r>
        <w:rPr>
          <w:rFonts w:eastAsiaTheme="minorHAnsi" w:cs="Arial"/>
        </w:rPr>
        <w:t>discrimination</w:t>
      </w:r>
      <w:r w:rsidR="00BD4346">
        <w:rPr>
          <w:rFonts w:eastAsiaTheme="minorHAnsi" w:cs="Arial"/>
        </w:rPr>
        <w:t>. However, many families (particularly in rural areas) reportedly do not know or understand this prohibition, and divide the family inheritance among their sons out of tradition</w:t>
      </w:r>
      <w:r w:rsidR="00BE375E" w:rsidRPr="00135EE6">
        <w:rPr>
          <w:rFonts w:eastAsiaTheme="minorHAnsi" w:cs="Arial"/>
        </w:rPr>
        <w:t>.</w:t>
      </w:r>
      <w:r w:rsidR="00BE375E" w:rsidRPr="00135EE6">
        <w:rPr>
          <w:rStyle w:val="FootnoteReference"/>
          <w:rFonts w:eastAsiaTheme="minorHAnsi" w:cs="Arial"/>
        </w:rPr>
        <w:footnoteReference w:id="105"/>
      </w:r>
      <w:r w:rsidR="00BE375E" w:rsidRPr="00135EE6">
        <w:rPr>
          <w:rFonts w:eastAsiaTheme="minorHAnsi" w:cs="Arial"/>
        </w:rPr>
        <w:t xml:space="preserve"> </w:t>
      </w:r>
      <w:r w:rsidR="00BE375E" w:rsidRPr="00135EE6">
        <w:rPr>
          <w:rStyle w:val="FootnoteReference"/>
          <w:rFonts w:eastAsiaTheme="minorHAnsi" w:cs="Arial"/>
        </w:rPr>
        <w:footnoteReference w:id="106"/>
      </w:r>
      <w:r w:rsidR="00BE375E" w:rsidRPr="00135EE6">
        <w:rPr>
          <w:rFonts w:eastAsiaTheme="minorHAnsi" w:cs="Arial"/>
        </w:rPr>
        <w:t xml:space="preserve"> </w:t>
      </w:r>
    </w:p>
    <w:p w14:paraId="2EE59A48" w14:textId="77777777" w:rsidR="00BE375E" w:rsidRPr="001B7D8B" w:rsidRDefault="00BE375E" w:rsidP="00BE375E">
      <w:pPr>
        <w:pStyle w:val="AllensHeading4"/>
      </w:pPr>
      <w:r w:rsidRPr="001B7D8B">
        <w:t xml:space="preserve">Registration fees </w:t>
      </w:r>
    </w:p>
    <w:p w14:paraId="395C9985" w14:textId="0FA5F1A8" w:rsidR="00BE375E" w:rsidRPr="00BE375E" w:rsidRDefault="00BE375E" w:rsidP="00BE375E">
      <w:pPr>
        <w:pStyle w:val="AllensHeading3"/>
        <w:numPr>
          <w:ilvl w:val="0"/>
          <w:numId w:val="0"/>
        </w:numPr>
        <w:ind w:left="2126"/>
        <w:rPr>
          <w:rFonts w:cs="Arial"/>
          <w:lang w:val="en-US"/>
        </w:rPr>
      </w:pPr>
      <w:r w:rsidRPr="00135EE6">
        <w:rPr>
          <w:rFonts w:cs="Arial"/>
          <w:lang w:val="en-US"/>
        </w:rPr>
        <w:t>In 2012</w:t>
      </w:r>
      <w:r w:rsidR="00410343">
        <w:rPr>
          <w:rFonts w:cs="Arial"/>
          <w:lang w:val="en-US"/>
        </w:rPr>
        <w:t>,</w:t>
      </w:r>
      <w:r w:rsidRPr="00135EE6">
        <w:rPr>
          <w:rFonts w:cs="Arial"/>
          <w:lang w:val="en-US"/>
        </w:rPr>
        <w:t xml:space="preserve"> the Government </w:t>
      </w:r>
      <w:r w:rsidR="00BD4346">
        <w:rPr>
          <w:rFonts w:cs="Arial"/>
          <w:lang w:val="en-US"/>
        </w:rPr>
        <w:t xml:space="preserve">began </w:t>
      </w:r>
      <w:r>
        <w:rPr>
          <w:rFonts w:cs="Arial"/>
          <w:lang w:val="en-US"/>
        </w:rPr>
        <w:t>offering a 30</w:t>
      </w:r>
      <w:r w:rsidR="00876A1D">
        <w:rPr>
          <w:rFonts w:cs="Arial"/>
          <w:lang w:val="en-US"/>
        </w:rPr>
        <w:t xml:space="preserve">% </w:t>
      </w:r>
      <w:r w:rsidR="00BD4346">
        <w:rPr>
          <w:rFonts w:cs="Arial"/>
          <w:lang w:val="en-US"/>
        </w:rPr>
        <w:t xml:space="preserve">fee </w:t>
      </w:r>
      <w:r w:rsidRPr="00135EE6">
        <w:rPr>
          <w:rFonts w:cs="Arial"/>
          <w:lang w:val="en-US"/>
        </w:rPr>
        <w:t xml:space="preserve">discount on land registered </w:t>
      </w:r>
      <w:r w:rsidR="00BD4346">
        <w:rPr>
          <w:rFonts w:cs="Arial"/>
          <w:lang w:val="en-US"/>
        </w:rPr>
        <w:t xml:space="preserve">in </w:t>
      </w:r>
      <w:r w:rsidR="00876A1D">
        <w:rPr>
          <w:rFonts w:cs="Arial"/>
          <w:lang w:val="en-US"/>
        </w:rPr>
        <w:t xml:space="preserve">a </w:t>
      </w:r>
      <w:r w:rsidRPr="00135EE6">
        <w:rPr>
          <w:rFonts w:cs="Arial"/>
          <w:lang w:val="en-US"/>
        </w:rPr>
        <w:t>woman’s name</w:t>
      </w:r>
      <w:r w:rsidR="00BD4346">
        <w:rPr>
          <w:rFonts w:cs="Arial"/>
          <w:lang w:val="en-US"/>
        </w:rPr>
        <w:t xml:space="preserve"> (with a larger fee discount applying </w:t>
      </w:r>
      <w:r>
        <w:rPr>
          <w:rFonts w:cs="Arial"/>
          <w:lang w:val="en-US"/>
        </w:rPr>
        <w:t>in rural areas</w:t>
      </w:r>
      <w:r w:rsidR="00BD4346">
        <w:rPr>
          <w:rFonts w:cs="Arial"/>
          <w:lang w:val="en-US"/>
        </w:rPr>
        <w:t>)</w:t>
      </w:r>
      <w:r w:rsidRPr="00135EE6">
        <w:rPr>
          <w:rFonts w:cs="Arial"/>
          <w:lang w:val="en-US"/>
        </w:rPr>
        <w:t>.</w:t>
      </w:r>
      <w:r>
        <w:rPr>
          <w:rStyle w:val="FootnoteReference"/>
          <w:rFonts w:cs="Arial"/>
          <w:lang w:val="en-US"/>
        </w:rPr>
        <w:footnoteReference w:id="107"/>
      </w:r>
      <w:r w:rsidRPr="00135EE6">
        <w:rPr>
          <w:rFonts w:cs="Arial"/>
          <w:lang w:val="en-US"/>
        </w:rPr>
        <w:t xml:space="preserve"> </w:t>
      </w:r>
      <w:r>
        <w:rPr>
          <w:rFonts w:cs="Arial"/>
          <w:lang w:val="en-US"/>
        </w:rPr>
        <w:t>In 2013</w:t>
      </w:r>
      <w:r w:rsidR="003E0050">
        <w:rPr>
          <w:rFonts w:cs="Arial"/>
          <w:lang w:val="en-US"/>
        </w:rPr>
        <w:t>,</w:t>
      </w:r>
      <w:r>
        <w:rPr>
          <w:rFonts w:cs="Arial"/>
          <w:lang w:val="en-US"/>
        </w:rPr>
        <w:t xml:space="preserve"> a</w:t>
      </w:r>
      <w:r w:rsidRPr="00135EE6">
        <w:rPr>
          <w:rFonts w:cs="Arial"/>
          <w:lang w:val="en-US"/>
        </w:rPr>
        <w:t xml:space="preserve"> joint ownership certificate policy </w:t>
      </w:r>
      <w:r>
        <w:rPr>
          <w:rFonts w:cs="Arial"/>
          <w:lang w:val="en-US"/>
        </w:rPr>
        <w:t>was introduced</w:t>
      </w:r>
      <w:r w:rsidR="003E0050">
        <w:rPr>
          <w:rFonts w:cs="Arial"/>
          <w:lang w:val="en-US"/>
        </w:rPr>
        <w:t>,</w:t>
      </w:r>
      <w:r>
        <w:rPr>
          <w:rFonts w:cs="Arial"/>
          <w:lang w:val="en-US"/>
        </w:rPr>
        <w:t xml:space="preserve"> allowing</w:t>
      </w:r>
      <w:r w:rsidRPr="00135EE6">
        <w:rPr>
          <w:rFonts w:cs="Arial"/>
          <w:lang w:val="en-US"/>
        </w:rPr>
        <w:t xml:space="preserve"> a couple to jointly register in both </w:t>
      </w:r>
      <w:r w:rsidR="003E0050">
        <w:rPr>
          <w:rFonts w:cs="Arial"/>
          <w:lang w:val="en-US"/>
        </w:rPr>
        <w:t xml:space="preserve">their </w:t>
      </w:r>
      <w:r w:rsidRPr="00135EE6">
        <w:rPr>
          <w:rFonts w:cs="Arial"/>
          <w:lang w:val="en-US"/>
        </w:rPr>
        <w:t xml:space="preserve">names for </w:t>
      </w:r>
      <w:r w:rsidR="003E0050">
        <w:rPr>
          <w:rFonts w:cs="Arial"/>
          <w:lang w:val="en-US"/>
        </w:rPr>
        <w:t xml:space="preserve">a </w:t>
      </w:r>
      <w:r w:rsidRPr="00135EE6">
        <w:rPr>
          <w:rFonts w:cs="Arial"/>
          <w:lang w:val="en-US"/>
        </w:rPr>
        <w:t>fixed registration fee of NRP 100.</w:t>
      </w:r>
      <w:r>
        <w:rPr>
          <w:rStyle w:val="FootnoteReference"/>
          <w:rFonts w:cs="Arial"/>
          <w:lang w:val="en-US"/>
        </w:rPr>
        <w:footnoteReference w:id="108"/>
      </w:r>
      <w:r w:rsidRPr="00135EE6">
        <w:rPr>
          <w:rFonts w:cs="Arial"/>
          <w:lang w:val="en-US"/>
        </w:rPr>
        <w:t xml:space="preserve"> Since </w:t>
      </w:r>
      <w:r>
        <w:rPr>
          <w:rFonts w:cs="Arial"/>
          <w:lang w:val="en-US"/>
        </w:rPr>
        <w:t xml:space="preserve">the introduction of these policies </w:t>
      </w:r>
      <w:r w:rsidRPr="00135EE6">
        <w:rPr>
          <w:rFonts w:cs="Arial"/>
          <w:lang w:val="en-US"/>
        </w:rPr>
        <w:t xml:space="preserve">there has been an increase in the number of women </w:t>
      </w:r>
      <w:r>
        <w:rPr>
          <w:rFonts w:cs="Arial"/>
          <w:lang w:val="en-US"/>
        </w:rPr>
        <w:t xml:space="preserve">registering </w:t>
      </w:r>
      <w:r w:rsidR="003E0050">
        <w:rPr>
          <w:rFonts w:cs="Arial"/>
          <w:lang w:val="en-US"/>
        </w:rPr>
        <w:t xml:space="preserve">an interest in </w:t>
      </w:r>
      <w:r>
        <w:rPr>
          <w:rFonts w:cs="Arial"/>
          <w:lang w:val="en-US"/>
        </w:rPr>
        <w:t xml:space="preserve">property </w:t>
      </w:r>
      <w:r w:rsidR="00876A1D">
        <w:rPr>
          <w:rFonts w:cs="Arial"/>
          <w:lang w:val="en-US"/>
        </w:rPr>
        <w:t xml:space="preserve">from </w:t>
      </w:r>
      <w:r>
        <w:rPr>
          <w:rFonts w:cs="Arial"/>
          <w:lang w:val="en-US"/>
        </w:rPr>
        <w:t>10.3</w:t>
      </w:r>
      <w:r w:rsidR="00876A1D">
        <w:rPr>
          <w:rFonts w:cs="Arial"/>
          <w:lang w:val="en-US"/>
        </w:rPr>
        <w:t>%</w:t>
      </w:r>
      <w:r w:rsidRPr="00135EE6">
        <w:rPr>
          <w:rFonts w:cs="Arial"/>
          <w:lang w:val="en-US"/>
        </w:rPr>
        <w:t xml:space="preserve"> of women in </w:t>
      </w:r>
      <w:r w:rsidR="00876A1D">
        <w:rPr>
          <w:rFonts w:cs="Arial"/>
          <w:lang w:val="en-US"/>
        </w:rPr>
        <w:t>2013 to 19% in</w:t>
      </w:r>
      <w:r>
        <w:rPr>
          <w:rFonts w:cs="Arial"/>
          <w:lang w:val="en-US"/>
        </w:rPr>
        <w:t xml:space="preserve"> 2014.</w:t>
      </w:r>
      <w:r w:rsidRPr="00135EE6">
        <w:rPr>
          <w:rStyle w:val="FootnoteReference"/>
          <w:rFonts w:cs="Arial"/>
          <w:lang w:val="en-US"/>
        </w:rPr>
        <w:footnoteReference w:id="109"/>
      </w:r>
      <w:r>
        <w:rPr>
          <w:rFonts w:cs="Arial"/>
          <w:lang w:val="en-US"/>
        </w:rPr>
        <w:t xml:space="preserve"> </w:t>
      </w:r>
    </w:p>
    <w:p w14:paraId="307A433B" w14:textId="77777777" w:rsidR="002D47F2" w:rsidRDefault="002D47F2" w:rsidP="00D91BC0">
      <w:pPr>
        <w:pStyle w:val="AllensHeading2"/>
        <w:rPr>
          <w:rFonts w:eastAsiaTheme="minorHAnsi"/>
          <w:lang w:eastAsia="en-US"/>
        </w:rPr>
      </w:pPr>
      <w:bookmarkStart w:id="76" w:name="_Toc8914064"/>
      <w:r>
        <w:rPr>
          <w:rFonts w:eastAsiaTheme="minorHAnsi"/>
          <w:lang w:eastAsia="en-US"/>
        </w:rPr>
        <w:t>Indigenous groups</w:t>
      </w:r>
      <w:bookmarkEnd w:id="76"/>
    </w:p>
    <w:p w14:paraId="5D7205F3" w14:textId="77777777" w:rsidR="002D47F2" w:rsidRPr="00BE375E" w:rsidRDefault="002D47F2" w:rsidP="00D91BC0">
      <w:pPr>
        <w:pStyle w:val="AllensHeading3"/>
        <w:keepNext/>
        <w:rPr>
          <w:rFonts w:eastAsiaTheme="minorHAnsi"/>
          <w:b/>
        </w:rPr>
      </w:pPr>
      <w:r w:rsidRPr="00BE375E">
        <w:rPr>
          <w:rFonts w:eastAsiaTheme="minorHAnsi"/>
          <w:b/>
        </w:rPr>
        <w:t>Is indigenous customary ownership (or custodianship) of land legally recognised?</w:t>
      </w:r>
    </w:p>
    <w:p w14:paraId="7A5B1B1B" w14:textId="6BA326E7" w:rsidR="00BE375E" w:rsidRPr="00095423" w:rsidRDefault="00BE375E" w:rsidP="00BE375E">
      <w:pPr>
        <w:pStyle w:val="AllensHeading3"/>
        <w:numPr>
          <w:ilvl w:val="0"/>
          <w:numId w:val="0"/>
        </w:numPr>
        <w:ind w:left="1418"/>
      </w:pPr>
      <w:r>
        <w:t xml:space="preserve">There are 59 castes of </w:t>
      </w:r>
      <w:r w:rsidR="003E0050">
        <w:t>IPs</w:t>
      </w:r>
      <w:r>
        <w:t xml:space="preserve"> recognised by the </w:t>
      </w:r>
      <w:r w:rsidR="00410343">
        <w:t>Government</w:t>
      </w:r>
      <w:r>
        <w:t>.</w:t>
      </w:r>
      <w:r>
        <w:rPr>
          <w:rStyle w:val="FootnoteReference"/>
        </w:rPr>
        <w:footnoteReference w:id="110"/>
      </w:r>
      <w:r>
        <w:t xml:space="preserve"> Nepal </w:t>
      </w:r>
      <w:r w:rsidR="003E0050">
        <w:t xml:space="preserve">is signatory to the </w:t>
      </w:r>
      <w:r w:rsidR="003E0050" w:rsidRPr="00FD7306">
        <w:rPr>
          <w:i/>
        </w:rPr>
        <w:t>Convention Concerning Indigenous and Tribunal Peoples in Independent Countries (No 169)</w:t>
      </w:r>
      <w:r>
        <w:t xml:space="preserve"> </w:t>
      </w:r>
      <w:r w:rsidR="003E0050">
        <w:t>(</w:t>
      </w:r>
      <w:r w:rsidRPr="00FD7306">
        <w:rPr>
          <w:b/>
          <w:i/>
        </w:rPr>
        <w:t xml:space="preserve">ILO Convention </w:t>
      </w:r>
      <w:r w:rsidR="00137EFF" w:rsidRPr="00FD7306">
        <w:rPr>
          <w:b/>
          <w:i/>
        </w:rPr>
        <w:t>No 169</w:t>
      </w:r>
      <w:r w:rsidR="003E0050">
        <w:t>)</w:t>
      </w:r>
      <w:r w:rsidR="00137EFF">
        <w:t xml:space="preserve"> </w:t>
      </w:r>
      <w:r>
        <w:t>concerning the rights of indigenous and tribal people.</w:t>
      </w:r>
      <w:r>
        <w:rPr>
          <w:rStyle w:val="FootnoteReference"/>
        </w:rPr>
        <w:footnoteReference w:id="111"/>
      </w:r>
      <w:r>
        <w:t xml:space="preserve"> </w:t>
      </w:r>
      <w:r w:rsidR="003E0050">
        <w:t xml:space="preserve">The </w:t>
      </w:r>
      <w:r>
        <w:t xml:space="preserve">Convention requires free and informed consent with respect to decision making about lands that are occupied by an indigenous community, and that the rights of ownership and customary possession of land </w:t>
      </w:r>
      <w:r w:rsidR="00410343">
        <w:t xml:space="preserve">traditionally occupied by </w:t>
      </w:r>
      <w:r>
        <w:t>indigenous people should be recognised.</w:t>
      </w:r>
      <w:r>
        <w:rPr>
          <w:rStyle w:val="FootnoteReference"/>
        </w:rPr>
        <w:footnoteReference w:id="112"/>
      </w:r>
      <w:r>
        <w:t xml:space="preserve"> </w:t>
      </w:r>
    </w:p>
    <w:p w14:paraId="142BE73A" w14:textId="77777777" w:rsidR="002D47F2" w:rsidRPr="00BE375E" w:rsidRDefault="002D47F2" w:rsidP="00861359">
      <w:pPr>
        <w:pStyle w:val="AllensHeading3"/>
        <w:rPr>
          <w:rFonts w:eastAsiaTheme="minorHAnsi"/>
          <w:b/>
        </w:rPr>
      </w:pPr>
      <w:r w:rsidRPr="00BE375E">
        <w:rPr>
          <w:rFonts w:eastAsiaTheme="minorHAnsi"/>
          <w:b/>
        </w:rPr>
        <w:t>Does customary ownership provide indigenous people with a high degree of security of tenure?</w:t>
      </w:r>
    </w:p>
    <w:p w14:paraId="73525ED4" w14:textId="4102CCD6" w:rsidR="00CB4058" w:rsidRPr="00E30CBD" w:rsidRDefault="00CB4058" w:rsidP="00CB4058">
      <w:pPr>
        <w:pStyle w:val="AllensHeading3"/>
        <w:numPr>
          <w:ilvl w:val="0"/>
          <w:numId w:val="0"/>
        </w:numPr>
        <w:ind w:left="1418"/>
      </w:pPr>
      <w:r>
        <w:t xml:space="preserve">The Constitution has created separate Commissions of Minority groups, including </w:t>
      </w:r>
      <w:r w:rsidR="003E0050">
        <w:t xml:space="preserve">a </w:t>
      </w:r>
      <w:r>
        <w:t>Dalit Commission,</w:t>
      </w:r>
      <w:r>
        <w:rPr>
          <w:rStyle w:val="FootnoteReference"/>
        </w:rPr>
        <w:footnoteReference w:id="113"/>
      </w:r>
      <w:r>
        <w:t xml:space="preserve"> Indigenous Nationalities Commission,</w:t>
      </w:r>
      <w:r>
        <w:rPr>
          <w:rStyle w:val="FootnoteReference"/>
        </w:rPr>
        <w:footnoteReference w:id="114"/>
      </w:r>
      <w:r>
        <w:t xml:space="preserve"> Madhesi Commission,</w:t>
      </w:r>
      <w:r>
        <w:rPr>
          <w:rStyle w:val="FootnoteReference"/>
        </w:rPr>
        <w:footnoteReference w:id="115"/>
      </w:r>
      <w:r>
        <w:t xml:space="preserve"> Tharu Commission,</w:t>
      </w:r>
      <w:r>
        <w:rPr>
          <w:rStyle w:val="FootnoteReference"/>
        </w:rPr>
        <w:footnoteReference w:id="116"/>
      </w:r>
      <w:r>
        <w:t xml:space="preserve"> and Muslim Commission.</w:t>
      </w:r>
      <w:r>
        <w:rPr>
          <w:rStyle w:val="FootnoteReference"/>
        </w:rPr>
        <w:footnoteReference w:id="117"/>
      </w:r>
      <w:r>
        <w:t xml:space="preserve"> It is possible that </w:t>
      </w:r>
      <w:r w:rsidR="003E0050">
        <w:t>further laws</w:t>
      </w:r>
      <w:r>
        <w:t xml:space="preserve"> will be enacted for the special protection of the land ownership rights of these minorities and </w:t>
      </w:r>
      <w:r w:rsidR="003E0050">
        <w:t>IPs</w:t>
      </w:r>
      <w:r>
        <w:t xml:space="preserve">. However, there is no </w:t>
      </w:r>
      <w:r w:rsidR="00C057BA">
        <w:t xml:space="preserve">other </w:t>
      </w:r>
      <w:r>
        <w:t xml:space="preserve">evidence of </w:t>
      </w:r>
      <w:r w:rsidR="003E0050">
        <w:t xml:space="preserve">the </w:t>
      </w:r>
      <w:r>
        <w:t>implementation of IP</w:t>
      </w:r>
      <w:r w:rsidR="003E0050">
        <w:t>s</w:t>
      </w:r>
      <w:r>
        <w:t xml:space="preserve">' rights set out in the </w:t>
      </w:r>
      <w:r w:rsidR="003E0050" w:rsidRPr="00FD7306">
        <w:t>ILO Convention No 169</w:t>
      </w:r>
      <w:r>
        <w:t>.</w:t>
      </w:r>
      <w:r>
        <w:rPr>
          <w:rStyle w:val="FootnoteReference"/>
        </w:rPr>
        <w:footnoteReference w:id="118"/>
      </w:r>
    </w:p>
    <w:p w14:paraId="1BBFBFA5" w14:textId="77777777" w:rsidR="002D47F2" w:rsidRPr="00BE375E" w:rsidRDefault="002D47F2" w:rsidP="00861359">
      <w:pPr>
        <w:pStyle w:val="AllensHeading3"/>
        <w:rPr>
          <w:rFonts w:eastAsiaTheme="minorHAnsi"/>
          <w:b/>
        </w:rPr>
      </w:pPr>
      <w:r w:rsidRPr="00BE375E">
        <w:rPr>
          <w:rFonts w:eastAsiaTheme="minorHAnsi"/>
          <w:b/>
        </w:rPr>
        <w:t>If not, what are the barriers to indigenous people owning and/or living on their land?</w:t>
      </w:r>
    </w:p>
    <w:p w14:paraId="2627D271" w14:textId="089EE660" w:rsidR="00BE375E" w:rsidRPr="00861359" w:rsidRDefault="003E0050" w:rsidP="00BE375E">
      <w:pPr>
        <w:pStyle w:val="AllensHeading3"/>
        <w:numPr>
          <w:ilvl w:val="0"/>
          <w:numId w:val="0"/>
        </w:numPr>
        <w:ind w:left="1418"/>
        <w:rPr>
          <w:rFonts w:eastAsiaTheme="minorHAnsi"/>
        </w:rPr>
      </w:pPr>
      <w:r>
        <w:t>A general challenge faced by IPs</w:t>
      </w:r>
      <w:r w:rsidR="00BE375E">
        <w:t xml:space="preserve"> </w:t>
      </w:r>
      <w:r>
        <w:t xml:space="preserve">in </w:t>
      </w:r>
      <w:r w:rsidR="00BE375E">
        <w:t xml:space="preserve">proving </w:t>
      </w:r>
      <w:r>
        <w:t xml:space="preserve">land ownership is often </w:t>
      </w:r>
      <w:r w:rsidR="00BE375E">
        <w:t>the</w:t>
      </w:r>
      <w:r>
        <w:t>ir</w:t>
      </w:r>
      <w:r w:rsidR="00BE375E">
        <w:t xml:space="preserve"> lack of official documentation. If </w:t>
      </w:r>
      <w:r>
        <w:t xml:space="preserve">an IP does not have any </w:t>
      </w:r>
      <w:r w:rsidR="00BE375E">
        <w:t>family member</w:t>
      </w:r>
      <w:r>
        <w:t>s</w:t>
      </w:r>
      <w:r w:rsidR="00BE375E">
        <w:t xml:space="preserve"> </w:t>
      </w:r>
      <w:r>
        <w:t xml:space="preserve">who have </w:t>
      </w:r>
      <w:r w:rsidR="00FA4399">
        <w:t xml:space="preserve">previously </w:t>
      </w:r>
      <w:r>
        <w:t xml:space="preserve">held a </w:t>
      </w:r>
      <w:r w:rsidR="00FA4399">
        <w:t>citizen</w:t>
      </w:r>
      <w:r>
        <w:t>ship</w:t>
      </w:r>
      <w:r w:rsidR="00FA4399">
        <w:t xml:space="preserve"> certificate</w:t>
      </w:r>
      <w:r>
        <w:t xml:space="preserve"> (particularly if they are in </w:t>
      </w:r>
      <w:r w:rsidR="00BE375E">
        <w:t>remote areas</w:t>
      </w:r>
      <w:r>
        <w:t>)</w:t>
      </w:r>
      <w:r w:rsidR="00FA4399">
        <w:t>,</w:t>
      </w:r>
      <w:r w:rsidR="00BE375E">
        <w:t xml:space="preserve"> it </w:t>
      </w:r>
      <w:r>
        <w:t xml:space="preserve">can be </w:t>
      </w:r>
      <w:r w:rsidR="00BE375E">
        <w:t>very difficult to</w:t>
      </w:r>
      <w:r w:rsidR="00137EFF">
        <w:t xml:space="preserve"> establish </w:t>
      </w:r>
      <w:r>
        <w:t xml:space="preserve">the </w:t>
      </w:r>
      <w:r w:rsidR="00137EFF">
        <w:t xml:space="preserve">lineage </w:t>
      </w:r>
      <w:r>
        <w:t xml:space="preserve">required </w:t>
      </w:r>
      <w:r w:rsidR="00137EFF">
        <w:t>to</w:t>
      </w:r>
      <w:r w:rsidR="00BE375E">
        <w:t xml:space="preserve"> obtain </w:t>
      </w:r>
      <w:r>
        <w:t>a certificate</w:t>
      </w:r>
      <w:r w:rsidR="00BE375E">
        <w:t xml:space="preserve">. </w:t>
      </w:r>
      <w:r>
        <w:t>C</w:t>
      </w:r>
      <w:r w:rsidR="00BE375E">
        <w:t>ommunit</w:t>
      </w:r>
      <w:r w:rsidR="001752A4">
        <w:t>y</w:t>
      </w:r>
      <w:r>
        <w:t>-</w:t>
      </w:r>
      <w:r w:rsidR="001752A4">
        <w:t>based citizenship certificate</w:t>
      </w:r>
      <w:r>
        <w:t>s can be obtained</w:t>
      </w:r>
      <w:r w:rsidR="001752A4">
        <w:t>,</w:t>
      </w:r>
      <w:r w:rsidR="00BE375E">
        <w:t xml:space="preserve"> but </w:t>
      </w:r>
      <w:r>
        <w:t>this is not widely known or understood in Nepal.</w:t>
      </w:r>
      <w:r w:rsidR="00BE375E">
        <w:rPr>
          <w:rStyle w:val="FootnoteReference"/>
        </w:rPr>
        <w:footnoteReference w:id="119"/>
      </w:r>
    </w:p>
    <w:p w14:paraId="60C1070D" w14:textId="77777777" w:rsidR="002F2EEB" w:rsidRPr="00BE375E" w:rsidRDefault="002D47F2" w:rsidP="002F2EEB">
      <w:pPr>
        <w:pStyle w:val="AllensHeading3"/>
        <w:rPr>
          <w:rFonts w:eastAsiaTheme="minorHAnsi"/>
          <w:b/>
        </w:rPr>
      </w:pPr>
      <w:r w:rsidRPr="00BE375E">
        <w:rPr>
          <w:rFonts w:eastAsiaTheme="minorHAnsi"/>
          <w:b/>
        </w:rPr>
        <w:t>Is there conflict between indigenous groups regarding land ownership?</w:t>
      </w:r>
      <w:r w:rsidR="002F2EEB">
        <w:rPr>
          <w:rFonts w:eastAsiaTheme="minorHAnsi"/>
          <w:b/>
        </w:rPr>
        <w:t xml:space="preserve"> </w:t>
      </w:r>
      <w:r w:rsidR="002F2EEB" w:rsidRPr="00BE375E">
        <w:rPr>
          <w:rFonts w:eastAsiaTheme="minorHAnsi"/>
          <w:b/>
        </w:rPr>
        <w:t>If so, to what degree? Are there mechanisms for resolving these conflicts?</w:t>
      </w:r>
    </w:p>
    <w:p w14:paraId="68385AEE" w14:textId="3C830E03" w:rsidR="00BE375E" w:rsidRPr="00861359" w:rsidRDefault="003E0050" w:rsidP="00BE375E">
      <w:pPr>
        <w:pStyle w:val="AllensHeading3"/>
        <w:numPr>
          <w:ilvl w:val="0"/>
          <w:numId w:val="0"/>
        </w:numPr>
        <w:ind w:left="1418"/>
        <w:rPr>
          <w:rFonts w:eastAsiaTheme="minorHAnsi"/>
        </w:rPr>
      </w:pPr>
      <w:r>
        <w:rPr>
          <w:rFonts w:eastAsiaTheme="minorHAnsi"/>
        </w:rPr>
        <w:t xml:space="preserve">Assuming </w:t>
      </w:r>
      <w:r w:rsidR="00137EFF">
        <w:rPr>
          <w:rFonts w:eastAsiaTheme="minorHAnsi"/>
        </w:rPr>
        <w:t xml:space="preserve">the absence of proper </w:t>
      </w:r>
      <w:r>
        <w:rPr>
          <w:rFonts w:eastAsiaTheme="minorHAnsi"/>
        </w:rPr>
        <w:t xml:space="preserve">registration, land ownership disputes are often </w:t>
      </w:r>
      <w:r w:rsidR="00BE375E" w:rsidRPr="00BE375E">
        <w:rPr>
          <w:rFonts w:eastAsiaTheme="minorHAnsi"/>
        </w:rPr>
        <w:t>resolved local</w:t>
      </w:r>
      <w:r w:rsidR="001752A4">
        <w:rPr>
          <w:rFonts w:eastAsiaTheme="minorHAnsi"/>
        </w:rPr>
        <w:t>ly</w:t>
      </w:r>
      <w:r>
        <w:rPr>
          <w:rFonts w:eastAsiaTheme="minorHAnsi"/>
        </w:rPr>
        <w:t xml:space="preserve"> (</w:t>
      </w:r>
      <w:r w:rsidR="00BE375E" w:rsidRPr="00BE375E">
        <w:rPr>
          <w:rFonts w:eastAsiaTheme="minorHAnsi"/>
        </w:rPr>
        <w:t>rather than through</w:t>
      </w:r>
      <w:r>
        <w:rPr>
          <w:rFonts w:eastAsiaTheme="minorHAnsi"/>
        </w:rPr>
        <w:t xml:space="preserve"> a court or </w:t>
      </w:r>
      <w:r w:rsidR="00BE375E" w:rsidRPr="00BE375E">
        <w:rPr>
          <w:rFonts w:eastAsiaTheme="minorHAnsi"/>
        </w:rPr>
        <w:t>arbitration system</w:t>
      </w:r>
      <w:r>
        <w:rPr>
          <w:rFonts w:eastAsiaTheme="minorHAnsi"/>
        </w:rPr>
        <w:t>)</w:t>
      </w:r>
      <w:r w:rsidR="00BE375E" w:rsidRPr="00BE375E">
        <w:rPr>
          <w:rFonts w:eastAsiaTheme="minorHAnsi"/>
        </w:rPr>
        <w:t>.</w:t>
      </w:r>
      <w:r w:rsidR="00BE375E" w:rsidRPr="00BE375E">
        <w:rPr>
          <w:rFonts w:eastAsiaTheme="minorHAnsi"/>
          <w:vertAlign w:val="superscript"/>
        </w:rPr>
        <w:footnoteReference w:id="120"/>
      </w:r>
      <w:r w:rsidR="00BE375E" w:rsidRPr="00BE375E">
        <w:rPr>
          <w:rFonts w:eastAsiaTheme="minorHAnsi"/>
        </w:rPr>
        <w:t xml:space="preserve"> </w:t>
      </w:r>
      <w:r>
        <w:rPr>
          <w:rFonts w:eastAsiaTheme="minorHAnsi"/>
        </w:rPr>
        <w:t>L</w:t>
      </w:r>
      <w:r w:rsidR="00BE375E" w:rsidRPr="00BE375E">
        <w:rPr>
          <w:rFonts w:eastAsiaTheme="minorHAnsi"/>
        </w:rPr>
        <w:t>ocal dispute resolution procedure</w:t>
      </w:r>
      <w:r>
        <w:rPr>
          <w:rFonts w:eastAsiaTheme="minorHAnsi"/>
        </w:rPr>
        <w:t>s</w:t>
      </w:r>
      <w:r w:rsidR="00BE375E" w:rsidRPr="00BE375E">
        <w:rPr>
          <w:rFonts w:eastAsiaTheme="minorHAnsi"/>
        </w:rPr>
        <w:t xml:space="preserve"> </w:t>
      </w:r>
      <w:r>
        <w:rPr>
          <w:rFonts w:eastAsiaTheme="minorHAnsi"/>
        </w:rPr>
        <w:t xml:space="preserve">are </w:t>
      </w:r>
      <w:r w:rsidR="00BE375E" w:rsidRPr="00BE375E">
        <w:rPr>
          <w:rFonts w:eastAsiaTheme="minorHAnsi"/>
        </w:rPr>
        <w:t>informal</w:t>
      </w:r>
      <w:r>
        <w:rPr>
          <w:rFonts w:eastAsiaTheme="minorHAnsi"/>
        </w:rPr>
        <w:t>,</w:t>
      </w:r>
      <w:r w:rsidR="00BE375E" w:rsidRPr="00BE375E">
        <w:rPr>
          <w:rFonts w:eastAsiaTheme="minorHAnsi"/>
        </w:rPr>
        <w:t xml:space="preserve"> and </w:t>
      </w:r>
      <w:r>
        <w:rPr>
          <w:rFonts w:eastAsiaTheme="minorHAnsi"/>
        </w:rPr>
        <w:t xml:space="preserve">are </w:t>
      </w:r>
      <w:r w:rsidR="00BE375E" w:rsidRPr="00BE375E">
        <w:rPr>
          <w:rFonts w:eastAsiaTheme="minorHAnsi"/>
        </w:rPr>
        <w:t xml:space="preserve">not </w:t>
      </w:r>
      <w:r>
        <w:rPr>
          <w:rFonts w:eastAsiaTheme="minorHAnsi"/>
        </w:rPr>
        <w:t xml:space="preserve">necessarily </w:t>
      </w:r>
      <w:r w:rsidR="00BE375E" w:rsidRPr="00BE375E">
        <w:rPr>
          <w:rFonts w:eastAsiaTheme="minorHAnsi"/>
        </w:rPr>
        <w:t>conducted with due process</w:t>
      </w:r>
      <w:r>
        <w:rPr>
          <w:rFonts w:eastAsiaTheme="minorHAnsi"/>
        </w:rPr>
        <w:t>,</w:t>
      </w:r>
      <w:r w:rsidR="00BE375E" w:rsidRPr="00BE375E">
        <w:rPr>
          <w:rFonts w:eastAsiaTheme="minorHAnsi"/>
        </w:rPr>
        <w:t xml:space="preserve"> leaving outcome</w:t>
      </w:r>
      <w:r>
        <w:rPr>
          <w:rFonts w:eastAsiaTheme="minorHAnsi"/>
        </w:rPr>
        <w:t>s</w:t>
      </w:r>
      <w:r w:rsidR="00BE375E" w:rsidRPr="00BE375E">
        <w:rPr>
          <w:rFonts w:eastAsiaTheme="minorHAnsi"/>
        </w:rPr>
        <w:t xml:space="preserve"> open to bias.</w:t>
      </w:r>
      <w:r w:rsidR="00BE375E" w:rsidRPr="00BE375E">
        <w:rPr>
          <w:rFonts w:eastAsiaTheme="minorHAnsi"/>
          <w:vertAlign w:val="superscript"/>
        </w:rPr>
        <w:footnoteReference w:id="121"/>
      </w:r>
      <w:r w:rsidR="00BE375E" w:rsidRPr="00BE375E">
        <w:rPr>
          <w:rFonts w:eastAsiaTheme="minorHAnsi"/>
        </w:rPr>
        <w:t xml:space="preserve"> </w:t>
      </w:r>
      <w:r>
        <w:rPr>
          <w:rFonts w:eastAsiaTheme="minorHAnsi"/>
        </w:rPr>
        <w:t xml:space="preserve">Dispute </w:t>
      </w:r>
      <w:r w:rsidR="00BE375E" w:rsidRPr="00BE375E">
        <w:rPr>
          <w:rFonts w:eastAsiaTheme="minorHAnsi"/>
        </w:rPr>
        <w:t xml:space="preserve">resolution through </w:t>
      </w:r>
      <w:r>
        <w:rPr>
          <w:rFonts w:eastAsiaTheme="minorHAnsi"/>
        </w:rPr>
        <w:t xml:space="preserve">a </w:t>
      </w:r>
      <w:r w:rsidR="00BE375E" w:rsidRPr="00BE375E">
        <w:rPr>
          <w:rFonts w:eastAsiaTheme="minorHAnsi"/>
        </w:rPr>
        <w:t xml:space="preserve">court </w:t>
      </w:r>
      <w:r>
        <w:rPr>
          <w:rFonts w:eastAsiaTheme="minorHAnsi"/>
        </w:rPr>
        <w:t xml:space="preserve">or arbitration </w:t>
      </w:r>
      <w:r w:rsidR="00BE375E" w:rsidRPr="00BE375E">
        <w:rPr>
          <w:rFonts w:eastAsiaTheme="minorHAnsi"/>
        </w:rPr>
        <w:t>system is costly and time consuming, resulting in a lack of access to justice fo</w:t>
      </w:r>
      <w:r w:rsidR="001752A4">
        <w:rPr>
          <w:rFonts w:eastAsiaTheme="minorHAnsi"/>
        </w:rPr>
        <w:t>r underprivileged and marginalis</w:t>
      </w:r>
      <w:r w:rsidR="00BE375E" w:rsidRPr="00BE375E">
        <w:rPr>
          <w:rFonts w:eastAsiaTheme="minorHAnsi"/>
        </w:rPr>
        <w:t>ed groups.</w:t>
      </w:r>
      <w:r w:rsidR="00BE375E" w:rsidRPr="00BE375E">
        <w:rPr>
          <w:rFonts w:eastAsiaTheme="minorHAnsi"/>
          <w:vertAlign w:val="superscript"/>
        </w:rPr>
        <w:footnoteReference w:id="122"/>
      </w:r>
      <w:r w:rsidR="00BE375E" w:rsidRPr="00BE375E">
        <w:rPr>
          <w:rFonts w:eastAsiaTheme="minorHAnsi"/>
        </w:rPr>
        <w:t xml:space="preserve"> </w:t>
      </w:r>
    </w:p>
    <w:p w14:paraId="55055B2A" w14:textId="77777777" w:rsidR="002D47F2" w:rsidRDefault="002D47F2" w:rsidP="00E273DA">
      <w:pPr>
        <w:pStyle w:val="AllensHeading2"/>
        <w:rPr>
          <w:rFonts w:eastAsiaTheme="minorHAnsi"/>
          <w:lang w:eastAsia="en-US"/>
        </w:rPr>
      </w:pPr>
      <w:bookmarkStart w:id="77" w:name="_Toc8914065"/>
      <w:bookmarkStart w:id="78" w:name="Minority_groups"/>
      <w:r>
        <w:rPr>
          <w:rFonts w:eastAsiaTheme="minorHAnsi"/>
          <w:lang w:eastAsia="en-US"/>
        </w:rPr>
        <w:t>Minority groups</w:t>
      </w:r>
      <w:bookmarkEnd w:id="77"/>
    </w:p>
    <w:bookmarkEnd w:id="78"/>
    <w:p w14:paraId="49873A04" w14:textId="0ABD5538" w:rsidR="002D47F2" w:rsidRPr="00BE375E" w:rsidRDefault="002D47F2" w:rsidP="00D91BC0">
      <w:pPr>
        <w:pStyle w:val="AllensHeading3"/>
        <w:keepNext/>
        <w:rPr>
          <w:rFonts w:eastAsiaTheme="minorHAnsi"/>
          <w:b/>
        </w:rPr>
      </w:pPr>
      <w:r w:rsidRPr="00BE375E">
        <w:rPr>
          <w:rFonts w:eastAsiaTheme="minorHAnsi"/>
          <w:b/>
        </w:rPr>
        <w:t>Can minority groups (i</w:t>
      </w:r>
      <w:r w:rsidR="00AC3AC6">
        <w:rPr>
          <w:rFonts w:eastAsiaTheme="minorHAnsi"/>
          <w:b/>
        </w:rPr>
        <w:t>.</w:t>
      </w:r>
      <w:r w:rsidRPr="00BE375E">
        <w:rPr>
          <w:rFonts w:eastAsiaTheme="minorHAnsi"/>
          <w:b/>
        </w:rPr>
        <w:t>e</w:t>
      </w:r>
      <w:r w:rsidR="00AC3AC6">
        <w:rPr>
          <w:rFonts w:eastAsiaTheme="minorHAnsi"/>
          <w:b/>
        </w:rPr>
        <w:t>.</w:t>
      </w:r>
      <w:r w:rsidRPr="00BE375E">
        <w:rPr>
          <w:rFonts w:eastAsiaTheme="minorHAnsi"/>
          <w:b/>
        </w:rPr>
        <w:t xml:space="preserve"> ethnic minorities, immigrants, stateless people) legally own and/or rent land and housing?</w:t>
      </w:r>
    </w:p>
    <w:p w14:paraId="63C98A89" w14:textId="56BE9024" w:rsidR="0087736F" w:rsidRDefault="00AD2EF8" w:rsidP="00CB4058">
      <w:pPr>
        <w:pStyle w:val="AllensHeading4"/>
        <w:numPr>
          <w:ilvl w:val="0"/>
          <w:numId w:val="0"/>
        </w:numPr>
        <w:ind w:left="1418"/>
      </w:pPr>
      <w:r>
        <w:t>Nepalese</w:t>
      </w:r>
      <w:r w:rsidR="00BE375E" w:rsidRPr="00D839A0">
        <w:t xml:space="preserve"> </w:t>
      </w:r>
      <w:r>
        <w:t>c</w:t>
      </w:r>
      <w:r w:rsidR="00BE375E" w:rsidRPr="00D839A0">
        <w:t>itizenship is</w:t>
      </w:r>
      <w:r w:rsidR="0087736F">
        <w:t xml:space="preserve"> principally</w:t>
      </w:r>
      <w:r w:rsidR="00BE375E" w:rsidRPr="00D839A0">
        <w:t xml:space="preserve"> conferred </w:t>
      </w:r>
      <w:r w:rsidR="00CB4058">
        <w:t xml:space="preserve">on the basis of descent and birth. However, the </w:t>
      </w:r>
      <w:bookmarkStart w:id="79" w:name="_Hlk8913564"/>
      <w:r w:rsidR="00CB4058" w:rsidRPr="00FD7306">
        <w:rPr>
          <w:i/>
        </w:rPr>
        <w:t>Citizenship Act</w:t>
      </w:r>
      <w:r w:rsidR="003E0050">
        <w:rPr>
          <w:i/>
        </w:rPr>
        <w:t>,</w:t>
      </w:r>
      <w:r w:rsidR="00E67EA9" w:rsidRPr="00FD7306">
        <w:rPr>
          <w:i/>
        </w:rPr>
        <w:t xml:space="preserve"> </w:t>
      </w:r>
      <w:r w:rsidR="003E0050">
        <w:rPr>
          <w:i/>
        </w:rPr>
        <w:t xml:space="preserve">2063 </w:t>
      </w:r>
      <w:r w:rsidR="003E0050" w:rsidRPr="00FD7306">
        <w:t>(</w:t>
      </w:r>
      <w:r w:rsidR="00CB4058" w:rsidRPr="003E0050">
        <w:t>200</w:t>
      </w:r>
      <w:r w:rsidR="00957971">
        <w:t>6</w:t>
      </w:r>
      <w:r w:rsidR="003E0050" w:rsidRPr="00FD7306">
        <w:t>)</w:t>
      </w:r>
      <w:r w:rsidR="00957971">
        <w:t xml:space="preserve"> </w:t>
      </w:r>
      <w:bookmarkEnd w:id="79"/>
      <w:r w:rsidR="00957971">
        <w:t xml:space="preserve">(the </w:t>
      </w:r>
      <w:r w:rsidR="00957971">
        <w:rPr>
          <w:b/>
          <w:i/>
        </w:rPr>
        <w:t>Citizenship Act</w:t>
      </w:r>
      <w:r w:rsidR="00957971">
        <w:t>)</w:t>
      </w:r>
      <w:r w:rsidR="00957971">
        <w:rPr>
          <w:rStyle w:val="FootnoteReference"/>
        </w:rPr>
        <w:footnoteReference w:id="123"/>
      </w:r>
      <w:r w:rsidR="00CB4058">
        <w:t xml:space="preserve"> and Constitution</w:t>
      </w:r>
      <w:r w:rsidR="00957971">
        <w:rPr>
          <w:rStyle w:val="FootnoteReference"/>
        </w:rPr>
        <w:footnoteReference w:id="124"/>
      </w:r>
      <w:r w:rsidR="00CB4058">
        <w:t xml:space="preserve"> recogni</w:t>
      </w:r>
      <w:r w:rsidR="00E67EA9">
        <w:t>s</w:t>
      </w:r>
      <w:r w:rsidR="00CB4058">
        <w:t>e Naturali</w:t>
      </w:r>
      <w:r w:rsidR="00E67EA9">
        <w:t>z</w:t>
      </w:r>
      <w:r w:rsidR="00CB4058">
        <w:t xml:space="preserve">ed Citizenship on </w:t>
      </w:r>
      <w:r w:rsidR="0087736F">
        <w:t xml:space="preserve">the basis of </w:t>
      </w:r>
      <w:r w:rsidR="00CB4058">
        <w:t xml:space="preserve">marriage. </w:t>
      </w:r>
    </w:p>
    <w:p w14:paraId="45D496DD" w14:textId="77777777" w:rsidR="00CB4058" w:rsidRDefault="0087736F" w:rsidP="00CB4058">
      <w:pPr>
        <w:pStyle w:val="AllensHeading4"/>
        <w:numPr>
          <w:ilvl w:val="0"/>
          <w:numId w:val="0"/>
        </w:numPr>
        <w:ind w:left="1418"/>
      </w:pPr>
      <w:r>
        <w:t xml:space="preserve">In relation to </w:t>
      </w:r>
      <w:r w:rsidR="00CB4058">
        <w:t xml:space="preserve">citizenship by descent, </w:t>
      </w:r>
      <w:r>
        <w:t xml:space="preserve">all </w:t>
      </w:r>
      <w:r w:rsidR="00CB4058" w:rsidRPr="00AA1671">
        <w:t>child</w:t>
      </w:r>
      <w:r>
        <w:t>ren</w:t>
      </w:r>
      <w:r w:rsidR="00CB4058" w:rsidRPr="00AA1671">
        <w:t xml:space="preserve"> found in the territory of Nepal whose paternal and maternal addresses are undetermined </w:t>
      </w:r>
      <w:r>
        <w:t xml:space="preserve">are </w:t>
      </w:r>
      <w:r w:rsidR="00CB4058" w:rsidRPr="00AA1671">
        <w:t>considered citizen</w:t>
      </w:r>
      <w:r>
        <w:t>s</w:t>
      </w:r>
      <w:r w:rsidR="00CB4058" w:rsidRPr="00AA1671">
        <w:t xml:space="preserve"> of Nepal </w:t>
      </w:r>
      <w:r>
        <w:t>(</w:t>
      </w:r>
      <w:r w:rsidR="00CB4058" w:rsidRPr="00AA1671">
        <w:t>by descent</w:t>
      </w:r>
      <w:r>
        <w:t>)</w:t>
      </w:r>
      <w:r w:rsidR="00CB4058" w:rsidRPr="00AA1671">
        <w:t xml:space="preserve"> until </w:t>
      </w:r>
      <w:r>
        <w:t xml:space="preserve">their </w:t>
      </w:r>
      <w:r w:rsidR="00CB4058" w:rsidRPr="00AA1671">
        <w:t xml:space="preserve">father or mother </w:t>
      </w:r>
      <w:r>
        <w:t>can be identified</w:t>
      </w:r>
      <w:r w:rsidR="00CB4058" w:rsidRPr="00AA1671">
        <w:t>.</w:t>
      </w:r>
      <w:r w:rsidR="00CB4058">
        <w:rPr>
          <w:rStyle w:val="FootnoteReference"/>
        </w:rPr>
        <w:footnoteReference w:id="125"/>
      </w:r>
    </w:p>
    <w:p w14:paraId="07AC881C" w14:textId="2494BA56" w:rsidR="00BE375E" w:rsidRDefault="0093282D">
      <w:pPr>
        <w:pStyle w:val="AllensHeading4"/>
        <w:numPr>
          <w:ilvl w:val="0"/>
          <w:numId w:val="0"/>
        </w:numPr>
        <w:ind w:left="1418"/>
      </w:pPr>
      <w:r>
        <w:t>Otherwise, t</w:t>
      </w:r>
      <w:r w:rsidR="0087736F">
        <w:t xml:space="preserve">he law does not regulate the ownership or leasing of land differently for </w:t>
      </w:r>
      <w:r w:rsidR="00CB4058">
        <w:t xml:space="preserve">ethnic minorities, immigrants and stateless people. </w:t>
      </w:r>
    </w:p>
    <w:p w14:paraId="00EE5C43" w14:textId="77777777" w:rsidR="002D47F2" w:rsidRPr="00BE375E" w:rsidRDefault="002D47F2" w:rsidP="00861359">
      <w:pPr>
        <w:pStyle w:val="AllensHeading3"/>
        <w:rPr>
          <w:rFonts w:eastAsiaTheme="minorHAnsi"/>
          <w:b/>
        </w:rPr>
      </w:pPr>
      <w:r w:rsidRPr="00BE375E">
        <w:rPr>
          <w:rFonts w:eastAsiaTheme="minorHAnsi"/>
          <w:b/>
        </w:rPr>
        <w:t>In practice, do minority groups legally own and/or rent land and housing? If not, why not?</w:t>
      </w:r>
    </w:p>
    <w:p w14:paraId="535631C2" w14:textId="73A66200" w:rsidR="00E67EA9" w:rsidRDefault="0093282D" w:rsidP="00BE375E">
      <w:pPr>
        <w:pStyle w:val="AllensHeading3"/>
        <w:numPr>
          <w:ilvl w:val="0"/>
          <w:numId w:val="0"/>
        </w:numPr>
        <w:ind w:left="1418"/>
      </w:pPr>
      <w:r>
        <w:t>M</w:t>
      </w:r>
      <w:r w:rsidR="00E67EA9">
        <w:t xml:space="preserve">inority groups can </w:t>
      </w:r>
      <w:r>
        <w:t>legal</w:t>
      </w:r>
      <w:r w:rsidR="00C057BA">
        <w:t>ly</w:t>
      </w:r>
      <w:r>
        <w:t xml:space="preserve"> </w:t>
      </w:r>
      <w:r w:rsidR="00E67EA9">
        <w:t>own and</w:t>
      </w:r>
      <w:r>
        <w:t xml:space="preserve"> </w:t>
      </w:r>
      <w:r w:rsidR="00E67EA9">
        <w:t>rent land and housing in Nepal</w:t>
      </w:r>
      <w:r>
        <w:t>.</w:t>
      </w:r>
    </w:p>
    <w:p w14:paraId="2CBFBAE4" w14:textId="2B5C3CD9" w:rsidR="00E67EA9" w:rsidRPr="0010130D" w:rsidRDefault="00C057BA" w:rsidP="00E67EA9">
      <w:pPr>
        <w:pStyle w:val="AllensHeading3"/>
        <w:numPr>
          <w:ilvl w:val="0"/>
          <w:numId w:val="0"/>
        </w:numPr>
        <w:ind w:left="1418"/>
        <w:rPr>
          <w:rFonts w:cstheme="minorBidi"/>
          <w:szCs w:val="18"/>
          <w:lang w:val="en-US" w:bidi="ne-NP"/>
        </w:rPr>
      </w:pPr>
      <w:r>
        <w:t>However, the barriers faced by minority groups are similar to those affecting other vulnerable groups. Additional measures have at times being implemented to address this vulnerability including f</w:t>
      </w:r>
      <w:r w:rsidR="00E67EA9">
        <w:t xml:space="preserve">ollowing the 2015 Nepal earthquake, </w:t>
      </w:r>
      <w:r>
        <w:t xml:space="preserve">when </w:t>
      </w:r>
      <w:r w:rsidR="0093282D">
        <w:t xml:space="preserve">the </w:t>
      </w:r>
      <w:bookmarkStart w:id="80" w:name="_Hlk8913572"/>
      <w:r w:rsidR="00E67EA9" w:rsidRPr="00FD7306">
        <w:rPr>
          <w:i/>
        </w:rPr>
        <w:t>Reconstruction of</w:t>
      </w:r>
      <w:r w:rsidR="00FF1D9E">
        <w:rPr>
          <w:i/>
        </w:rPr>
        <w:t xml:space="preserve"> Earthquake </w:t>
      </w:r>
      <w:r w:rsidR="00E67EA9" w:rsidRPr="00FD7306">
        <w:rPr>
          <w:i/>
        </w:rPr>
        <w:t>Affected</w:t>
      </w:r>
      <w:r w:rsidR="00FF1D9E">
        <w:rPr>
          <w:i/>
        </w:rPr>
        <w:t xml:space="preserve"> Structures Act, 2072</w:t>
      </w:r>
      <w:r w:rsidR="00E67EA9" w:rsidRPr="00FD7306">
        <w:rPr>
          <w:i/>
        </w:rPr>
        <w:t xml:space="preserve"> </w:t>
      </w:r>
      <w:r w:rsidR="00FF1D9E">
        <w:t>(201</w:t>
      </w:r>
      <w:r w:rsidR="00B972EF">
        <w:t>5</w:t>
      </w:r>
      <w:r w:rsidR="00FF1D9E">
        <w:t>)</w:t>
      </w:r>
      <w:bookmarkEnd w:id="80"/>
      <w:r w:rsidR="00FF1D9E">
        <w:t xml:space="preserve"> </w:t>
      </w:r>
      <w:r w:rsidR="00E67EA9">
        <w:t>was enacted with the objectives of</w:t>
      </w:r>
      <w:r w:rsidR="0093282D">
        <w:t>: (i)</w:t>
      </w:r>
      <w:r w:rsidR="00E67EA9">
        <w:t xml:space="preserve"> allowing the immediate construction of sustainable and planned </w:t>
      </w:r>
      <w:r w:rsidR="00E67EA9">
        <w:rPr>
          <w:rFonts w:cs="Kokila"/>
          <w:szCs w:val="18"/>
          <w:lang w:val="en-US" w:bidi="ne-NP"/>
        </w:rPr>
        <w:t>houses and structures destroyed by the earthquake</w:t>
      </w:r>
      <w:r w:rsidR="0093282D">
        <w:rPr>
          <w:rFonts w:cs="Kokila"/>
          <w:szCs w:val="18"/>
          <w:lang w:val="en-US" w:bidi="ne-NP"/>
        </w:rPr>
        <w:t>;</w:t>
      </w:r>
      <w:r w:rsidR="00E67EA9">
        <w:rPr>
          <w:rFonts w:cs="Kokila"/>
          <w:szCs w:val="18"/>
          <w:lang w:val="en-US" w:bidi="ne-NP"/>
        </w:rPr>
        <w:t xml:space="preserve"> and </w:t>
      </w:r>
      <w:r w:rsidR="0093282D">
        <w:rPr>
          <w:rFonts w:cs="Kokila"/>
          <w:szCs w:val="18"/>
          <w:lang w:val="en-US" w:bidi="ne-NP"/>
        </w:rPr>
        <w:t xml:space="preserve">(ii) ensuring </w:t>
      </w:r>
      <w:r w:rsidR="00E67EA9">
        <w:rPr>
          <w:rFonts w:cs="Kokila"/>
          <w:szCs w:val="18"/>
          <w:lang w:val="en-US" w:bidi="ne-NP"/>
        </w:rPr>
        <w:t>the relocation and resettlement of displaced people and families.</w:t>
      </w:r>
      <w:r w:rsidR="00E67EA9">
        <w:rPr>
          <w:rStyle w:val="FootnoteReference"/>
          <w:rFonts w:cs="Kokila"/>
          <w:szCs w:val="18"/>
          <w:lang w:val="en-US" w:bidi="ne-NP"/>
        </w:rPr>
        <w:footnoteReference w:id="126"/>
      </w:r>
      <w:r w:rsidR="00E67EA9">
        <w:t xml:space="preserve"> </w:t>
      </w:r>
      <w:r w:rsidR="00760B24">
        <w:t>Special arrangements were made to facilitate construction for v</w:t>
      </w:r>
      <w:r w:rsidR="00E67EA9">
        <w:t>ulnerable groups</w:t>
      </w:r>
      <w:r w:rsidR="00760B24">
        <w:t>,</w:t>
      </w:r>
      <w:r w:rsidR="00E67EA9">
        <w:rPr>
          <w:rStyle w:val="FootnoteReference"/>
        </w:rPr>
        <w:footnoteReference w:id="127"/>
      </w:r>
      <w:r w:rsidR="00760B24">
        <w:t xml:space="preserve"> including</w:t>
      </w:r>
      <w:r w:rsidR="00E67EA9">
        <w:t xml:space="preserve"> single woman</w:t>
      </w:r>
      <w:r w:rsidR="00760B24">
        <w:t xml:space="preserve"> over 65 </w:t>
      </w:r>
      <w:r w:rsidR="00E67EA9">
        <w:t xml:space="preserve">years </w:t>
      </w:r>
      <w:r w:rsidR="00760B24">
        <w:t xml:space="preserve">of </w:t>
      </w:r>
      <w:r w:rsidR="00E67EA9">
        <w:t>age</w:t>
      </w:r>
      <w:r w:rsidR="00760B24">
        <w:t>,</w:t>
      </w:r>
      <w:r w:rsidR="00E67EA9">
        <w:t xml:space="preserve"> senior citizen</w:t>
      </w:r>
      <w:r w:rsidR="00760B24">
        <w:t>s</w:t>
      </w:r>
      <w:r w:rsidR="00E67EA9">
        <w:t xml:space="preserve"> </w:t>
      </w:r>
      <w:r w:rsidR="00760B24">
        <w:t xml:space="preserve">over </w:t>
      </w:r>
      <w:r w:rsidR="00E67EA9">
        <w:t xml:space="preserve">70 years </w:t>
      </w:r>
      <w:r w:rsidR="00760B24">
        <w:t xml:space="preserve">of </w:t>
      </w:r>
      <w:r w:rsidR="00E67EA9">
        <w:t>age</w:t>
      </w:r>
      <w:r w:rsidR="00760B24">
        <w:t>,</w:t>
      </w:r>
      <w:r w:rsidR="00E67EA9">
        <w:t xml:space="preserve"> minors below 16 years </w:t>
      </w:r>
      <w:r w:rsidR="00760B24">
        <w:t xml:space="preserve">of </w:t>
      </w:r>
      <w:r w:rsidR="00E67EA9">
        <w:t>age</w:t>
      </w:r>
      <w:r w:rsidR="00760B24">
        <w:t>,</w:t>
      </w:r>
      <w:r w:rsidR="00E67EA9">
        <w:t xml:space="preserve"> and disabled persons </w:t>
      </w:r>
      <w:r w:rsidR="0093282D">
        <w:t>with</w:t>
      </w:r>
      <w:r w:rsidR="00E67EA9">
        <w:t xml:space="preserve"> </w:t>
      </w:r>
      <w:r w:rsidR="00760B24">
        <w:t xml:space="preserve">a </w:t>
      </w:r>
      <w:r w:rsidR="00E67EA9">
        <w:t>Disabled Identity Card (Red and Blue)</w:t>
      </w:r>
      <w:r w:rsidR="00E67EA9">
        <w:rPr>
          <w:rFonts w:cstheme="minorBidi"/>
          <w:szCs w:val="18"/>
          <w:lang w:val="en-US" w:bidi="ne-NP"/>
        </w:rPr>
        <w:t>.</w:t>
      </w:r>
      <w:r w:rsidR="00E67EA9">
        <w:rPr>
          <w:rStyle w:val="FootnoteReference"/>
          <w:rFonts w:cstheme="minorBidi"/>
          <w:szCs w:val="18"/>
          <w:lang w:val="en-US" w:bidi="ne-NP"/>
        </w:rPr>
        <w:footnoteReference w:id="128"/>
      </w:r>
    </w:p>
    <w:p w14:paraId="6A1B5663" w14:textId="77777777" w:rsidR="002D47F2" w:rsidRDefault="002D47F2" w:rsidP="00E273DA">
      <w:pPr>
        <w:pStyle w:val="AllensHeading2"/>
        <w:rPr>
          <w:rFonts w:eastAsiaTheme="minorHAnsi"/>
          <w:lang w:eastAsia="en-US"/>
        </w:rPr>
      </w:pPr>
      <w:bookmarkStart w:id="82" w:name="_Toc8914066"/>
      <w:bookmarkStart w:id="83" w:name="Landless_people"/>
      <w:r>
        <w:rPr>
          <w:rFonts w:eastAsiaTheme="minorHAnsi"/>
          <w:lang w:eastAsia="en-US"/>
        </w:rPr>
        <w:t>Landless people/squatters</w:t>
      </w:r>
      <w:bookmarkEnd w:id="82"/>
    </w:p>
    <w:bookmarkEnd w:id="83"/>
    <w:p w14:paraId="35CDFFB6" w14:textId="1E2C5D42" w:rsidR="002D47F2" w:rsidRPr="00233EFD" w:rsidRDefault="002D47F2" w:rsidP="00861359">
      <w:pPr>
        <w:pStyle w:val="AllensHeading3"/>
        <w:rPr>
          <w:rFonts w:eastAsiaTheme="minorHAnsi"/>
          <w:b/>
        </w:rPr>
      </w:pPr>
      <w:r w:rsidRPr="00233EFD">
        <w:rPr>
          <w:rFonts w:eastAsiaTheme="minorHAnsi"/>
          <w:b/>
        </w:rPr>
        <w:t>Do landless people/squatters have rights to land and/or housing (e</w:t>
      </w:r>
      <w:r w:rsidR="00AC3AC6">
        <w:rPr>
          <w:rFonts w:eastAsiaTheme="minorHAnsi"/>
          <w:b/>
        </w:rPr>
        <w:t>.</w:t>
      </w:r>
      <w:r w:rsidRPr="00233EFD">
        <w:rPr>
          <w:rFonts w:eastAsiaTheme="minorHAnsi"/>
          <w:b/>
        </w:rPr>
        <w:t>g</w:t>
      </w:r>
      <w:r w:rsidR="00AC3AC6">
        <w:rPr>
          <w:rFonts w:eastAsiaTheme="minorHAnsi"/>
          <w:b/>
        </w:rPr>
        <w:t>.</w:t>
      </w:r>
      <w:r w:rsidRPr="00233EFD">
        <w:rPr>
          <w:rFonts w:eastAsiaTheme="minorHAnsi"/>
          <w:b/>
        </w:rPr>
        <w:t xml:space="preserve"> adverse possession)? If so, are those rights respected?</w:t>
      </w:r>
    </w:p>
    <w:p w14:paraId="3AD7CA99" w14:textId="27026FBD" w:rsidR="008873A3" w:rsidRDefault="00233EFD" w:rsidP="00233EFD">
      <w:pPr>
        <w:pStyle w:val="AllensHeading3"/>
        <w:numPr>
          <w:ilvl w:val="0"/>
          <w:numId w:val="0"/>
        </w:numPr>
        <w:tabs>
          <w:tab w:val="left" w:pos="720"/>
        </w:tabs>
        <w:ind w:left="1418"/>
      </w:pPr>
      <w:r w:rsidRPr="004B7D65">
        <w:t>There are laws and policies in Nepal that support the rights of landless people to land</w:t>
      </w:r>
      <w:r w:rsidR="00B72008">
        <w:t xml:space="preserve"> and </w:t>
      </w:r>
      <w:r w:rsidRPr="004B7D65">
        <w:t>housing</w:t>
      </w:r>
      <w:r w:rsidR="008873A3">
        <w:t>, as follows:</w:t>
      </w:r>
    </w:p>
    <w:p w14:paraId="0384357D" w14:textId="5EBF58AD" w:rsidR="008873A3" w:rsidRDefault="008873A3" w:rsidP="008873A3">
      <w:pPr>
        <w:pStyle w:val="Bullet3"/>
      </w:pPr>
      <w:r>
        <w:t>t</w:t>
      </w:r>
      <w:r w:rsidR="00233EFD" w:rsidRPr="004B7D65">
        <w:t>he Constitution establishes a right to housing for all citizens,</w:t>
      </w:r>
      <w:r w:rsidR="00233EFD" w:rsidRPr="004B7D65">
        <w:rPr>
          <w:rStyle w:val="FootnoteReference"/>
        </w:rPr>
        <w:footnoteReference w:id="129"/>
      </w:r>
      <w:r w:rsidR="00233EFD" w:rsidRPr="004B7D65">
        <w:t xml:space="preserve"> and requires the </w:t>
      </w:r>
      <w:r w:rsidR="0093282D">
        <w:t>S</w:t>
      </w:r>
      <w:r w:rsidR="0093282D" w:rsidRPr="004B7D65">
        <w:t xml:space="preserve">tate </w:t>
      </w:r>
      <w:r w:rsidR="00233EFD" w:rsidRPr="004B7D65">
        <w:t xml:space="preserve">to make one-off grants of land to the landless </w:t>
      </w:r>
      <w:r w:rsidR="00233EFD" w:rsidRPr="004B7D65">
        <w:rPr>
          <w:i/>
        </w:rPr>
        <w:t>Dalit</w:t>
      </w:r>
      <w:r w:rsidR="00233EFD" w:rsidRPr="004B7D65">
        <w:t xml:space="preserve"> caste</w:t>
      </w:r>
      <w:r>
        <w:t>;</w:t>
      </w:r>
      <w:r w:rsidR="00233EFD" w:rsidRPr="004B7D65">
        <w:rPr>
          <w:rStyle w:val="FootnoteReference"/>
        </w:rPr>
        <w:footnoteReference w:id="130"/>
      </w:r>
      <w:r w:rsidR="00233EFD" w:rsidRPr="004B7D65">
        <w:t xml:space="preserve"> </w:t>
      </w:r>
    </w:p>
    <w:p w14:paraId="0204B117" w14:textId="6763AF4F" w:rsidR="008873A3" w:rsidRDefault="008873A3" w:rsidP="008873A3">
      <w:pPr>
        <w:pStyle w:val="Bullet3"/>
      </w:pPr>
      <w:r>
        <w:t>p</w:t>
      </w:r>
      <w:r w:rsidR="00233EFD" w:rsidRPr="004B7D65">
        <w:t xml:space="preserve">art 4 of the Constitution (Policies of the State) </w:t>
      </w:r>
      <w:r w:rsidR="0093282D">
        <w:t>describes</w:t>
      </w:r>
      <w:r w:rsidR="0093282D" w:rsidRPr="004B7D65">
        <w:t xml:space="preserve"> </w:t>
      </w:r>
      <w:r w:rsidR="00233EFD" w:rsidRPr="004B7D65">
        <w:t>the need to 'identify</w:t>
      </w:r>
      <w:r w:rsidR="0093282D">
        <w:t xml:space="preserve"> </w:t>
      </w:r>
      <w:r w:rsidR="00233EFD" w:rsidRPr="004B7D65">
        <w:t>…</w:t>
      </w:r>
      <w:r w:rsidR="0093282D">
        <w:t xml:space="preserve"> </w:t>
      </w:r>
      <w:r w:rsidR="00233EFD" w:rsidRPr="004B7D65">
        <w:t>the landless and squatters and rehabilitate them by providing housing, housing plots for residence, and cultivable land</w:t>
      </w:r>
      <w:r w:rsidR="0093282D">
        <w:t xml:space="preserve"> </w:t>
      </w:r>
      <w:r w:rsidR="00233EFD" w:rsidRPr="004B7D65">
        <w:t>…</w:t>
      </w:r>
      <w:r w:rsidR="0093282D">
        <w:t xml:space="preserve"> </w:t>
      </w:r>
      <w:r w:rsidR="00233EFD" w:rsidRPr="004B7D65">
        <w:t>for their livelihoods'</w:t>
      </w:r>
      <w:r>
        <w:t>;</w:t>
      </w:r>
      <w:r w:rsidR="00233EFD" w:rsidRPr="004B7D65">
        <w:rPr>
          <w:rStyle w:val="FootnoteReference"/>
        </w:rPr>
        <w:footnoteReference w:id="131"/>
      </w:r>
      <w:r w:rsidR="00233EFD" w:rsidRPr="004B7D65">
        <w:t xml:space="preserve"> </w:t>
      </w:r>
    </w:p>
    <w:p w14:paraId="090A6712" w14:textId="74F5A830" w:rsidR="008873A3" w:rsidRDefault="00233EFD" w:rsidP="008873A3">
      <w:pPr>
        <w:pStyle w:val="Bullet3"/>
      </w:pPr>
      <w:r w:rsidRPr="004B7D65">
        <w:t xml:space="preserve">The Land Use Policy </w:t>
      </w:r>
      <w:r w:rsidR="0027086D" w:rsidRPr="004B7D65">
        <w:t xml:space="preserve">2015 </w:t>
      </w:r>
      <w:r w:rsidRPr="004B7D65">
        <w:t>includes a strategy to develop low-cost settlements for landless citizens and those with minimal access to land</w:t>
      </w:r>
      <w:r w:rsidR="008873A3">
        <w:t>;</w:t>
      </w:r>
      <w:r w:rsidRPr="004B7D65">
        <w:rPr>
          <w:rStyle w:val="FootnoteReference"/>
        </w:rPr>
        <w:footnoteReference w:id="132"/>
      </w:r>
      <w:r w:rsidR="008873A3">
        <w:t xml:space="preserve"> and</w:t>
      </w:r>
      <w:r w:rsidRPr="004B7D65">
        <w:t xml:space="preserve"> </w:t>
      </w:r>
    </w:p>
    <w:p w14:paraId="6F20DB5B" w14:textId="2DD952D2" w:rsidR="00233EFD" w:rsidRPr="004B7D65" w:rsidRDefault="008873A3" w:rsidP="00FD7306">
      <w:pPr>
        <w:pStyle w:val="Bullet3"/>
      </w:pPr>
      <w:r>
        <w:t>s</w:t>
      </w:r>
      <w:r w:rsidR="0093282D">
        <w:t xml:space="preserve">ection </w:t>
      </w:r>
      <w:r w:rsidR="00233EFD" w:rsidRPr="004B7D65">
        <w:t xml:space="preserve">6(5) of the </w:t>
      </w:r>
      <w:r w:rsidR="00233EFD" w:rsidRPr="00FD7306">
        <w:t>Land</w:t>
      </w:r>
      <w:r w:rsidR="00233EFD" w:rsidRPr="0050537A">
        <w:rPr>
          <w:i/>
        </w:rPr>
        <w:t xml:space="preserve"> </w:t>
      </w:r>
      <w:r w:rsidR="0093282D">
        <w:t xml:space="preserve">Survey Act </w:t>
      </w:r>
      <w:r w:rsidR="00233EFD" w:rsidRPr="004B7D65">
        <w:t>provides for the possibility of land ownership based on a principle of 'long past' possession or cultivation.</w:t>
      </w:r>
      <w:r w:rsidR="00233EFD" w:rsidRPr="004B7D65">
        <w:rPr>
          <w:rStyle w:val="FootnoteReference"/>
        </w:rPr>
        <w:footnoteReference w:id="133"/>
      </w:r>
      <w:r w:rsidR="00233EFD" w:rsidRPr="004B7D65">
        <w:t xml:space="preserve"> </w:t>
      </w:r>
    </w:p>
    <w:p w14:paraId="5A8C1D45" w14:textId="6D9F5EAA" w:rsidR="008873A3" w:rsidRDefault="00233EFD" w:rsidP="00233EFD">
      <w:pPr>
        <w:pStyle w:val="NormalIndent"/>
        <w:ind w:left="1418"/>
      </w:pPr>
      <w:r w:rsidRPr="004B7D65">
        <w:t xml:space="preserve">In practice, these </w:t>
      </w:r>
      <w:r w:rsidR="008873A3">
        <w:t>laws and policies</w:t>
      </w:r>
      <w:r w:rsidR="008873A3" w:rsidRPr="004B7D65">
        <w:t xml:space="preserve"> </w:t>
      </w:r>
      <w:r w:rsidRPr="004B7D65">
        <w:t xml:space="preserve">are not </w:t>
      </w:r>
      <w:r w:rsidR="008873A3">
        <w:t xml:space="preserve">enforced, </w:t>
      </w:r>
      <w:r w:rsidRPr="004B7D65">
        <w:t xml:space="preserve">and land rights for landless people and squatters are not recognised. </w:t>
      </w:r>
      <w:r w:rsidR="008873A3">
        <w:t xml:space="preserve">In many cases, laws have </w:t>
      </w:r>
      <w:r w:rsidRPr="004B7D65">
        <w:t xml:space="preserve">not been amended to reflect </w:t>
      </w:r>
      <w:r w:rsidR="008873A3">
        <w:t>constitutional guarantees</w:t>
      </w:r>
      <w:r w:rsidRPr="004B7D65">
        <w:t xml:space="preserve">, and </w:t>
      </w:r>
      <w:r w:rsidR="008873A3">
        <w:t xml:space="preserve">Government </w:t>
      </w:r>
      <w:r w:rsidRPr="004B7D65">
        <w:t>policies are not sufficiently co-ordinated.</w:t>
      </w:r>
      <w:r w:rsidRPr="004B7D65">
        <w:rPr>
          <w:rStyle w:val="FootnoteReference"/>
        </w:rPr>
        <w:footnoteReference w:id="134"/>
      </w:r>
      <w:r w:rsidRPr="004B7D65">
        <w:t xml:space="preserve"> </w:t>
      </w:r>
    </w:p>
    <w:p w14:paraId="4C4BCE49" w14:textId="4470467D" w:rsidR="00233EFD" w:rsidRDefault="00233EFD" w:rsidP="00233EFD">
      <w:pPr>
        <w:pStyle w:val="NormalIndent"/>
        <w:ind w:left="1418"/>
        <w:rPr>
          <w:rFonts w:ascii="Times New Roman" w:eastAsiaTheme="minorHAnsi" w:hAnsi="Times New Roman"/>
          <w:sz w:val="24"/>
          <w:szCs w:val="24"/>
        </w:rPr>
      </w:pPr>
      <w:r w:rsidRPr="004B7D65">
        <w:t xml:space="preserve">Any improvements in the </w:t>
      </w:r>
      <w:r w:rsidR="008873A3">
        <w:t xml:space="preserve">enjoyment of </w:t>
      </w:r>
      <w:r w:rsidRPr="004B7D65">
        <w:t xml:space="preserve">land rights </w:t>
      </w:r>
      <w:r w:rsidR="008873A3">
        <w:t xml:space="preserve">by </w:t>
      </w:r>
      <w:r w:rsidRPr="004B7D65">
        <w:t>landless people</w:t>
      </w:r>
      <w:r w:rsidR="00B72008">
        <w:t xml:space="preserve"> and </w:t>
      </w:r>
      <w:r w:rsidRPr="004B7D65">
        <w:t xml:space="preserve">squatters </w:t>
      </w:r>
      <w:r w:rsidR="008873A3">
        <w:t xml:space="preserve">are generally facilitated by </w:t>
      </w:r>
      <w:r w:rsidRPr="004B7D65">
        <w:t>grassroots organisations.</w:t>
      </w:r>
      <w:r w:rsidRPr="004B7D65">
        <w:rPr>
          <w:rStyle w:val="FootnoteReference"/>
        </w:rPr>
        <w:footnoteReference w:id="135"/>
      </w:r>
      <w:r w:rsidRPr="004B7D65">
        <w:t xml:space="preserve"> </w:t>
      </w:r>
      <w:r w:rsidR="008873A3">
        <w:t xml:space="preserve">Certain </w:t>
      </w:r>
      <w:r w:rsidRPr="004B7D65">
        <w:t>organisations provide 'family ID cards', which are recognised by some local authorities as entitling landless i</w:t>
      </w:r>
      <w:r w:rsidR="0027086D" w:rsidRPr="004B7D65">
        <w:t>ndividuals to basic services (</w:t>
      </w:r>
      <w:r w:rsidR="00C057BA">
        <w:t>eg</w:t>
      </w:r>
      <w:r w:rsidRPr="004B7D65">
        <w:t xml:space="preserve"> mains water) and protection against eviction.</w:t>
      </w:r>
      <w:r w:rsidRPr="004B7D65">
        <w:rPr>
          <w:rStyle w:val="FootnoteReference"/>
        </w:rPr>
        <w:footnoteReference w:id="136"/>
      </w:r>
      <w:r w:rsidRPr="004B7D65">
        <w:t xml:space="preserve"> These informal processes are subject to local interpretation and attitudes, which represent a significant challenge to widespread implementation.</w:t>
      </w:r>
      <w:r w:rsidRPr="004B7D65">
        <w:rPr>
          <w:rStyle w:val="FootnoteReference"/>
        </w:rPr>
        <w:footnoteReference w:id="137"/>
      </w:r>
      <w:r>
        <w:t xml:space="preserve"> </w:t>
      </w:r>
    </w:p>
    <w:p w14:paraId="1335A7C8" w14:textId="77777777" w:rsidR="002D47F2" w:rsidRDefault="002D47F2" w:rsidP="00E273DA">
      <w:pPr>
        <w:pStyle w:val="AllensHeading2"/>
        <w:rPr>
          <w:rFonts w:eastAsiaTheme="minorHAnsi"/>
          <w:lang w:eastAsia="en-US"/>
        </w:rPr>
      </w:pPr>
      <w:bookmarkStart w:id="85" w:name="_Toc8914067"/>
      <w:r>
        <w:rPr>
          <w:rFonts w:eastAsiaTheme="minorHAnsi"/>
          <w:lang w:eastAsia="en-US"/>
        </w:rPr>
        <w:t>General questions</w:t>
      </w:r>
      <w:bookmarkEnd w:id="85"/>
    </w:p>
    <w:p w14:paraId="0C724E4B" w14:textId="77777777" w:rsidR="002D47F2" w:rsidRDefault="002D47F2" w:rsidP="00861359">
      <w:pPr>
        <w:pStyle w:val="AllensHeading3"/>
        <w:rPr>
          <w:b/>
        </w:rPr>
      </w:pPr>
      <w:r w:rsidRPr="00233EFD">
        <w:rPr>
          <w:b/>
        </w:rPr>
        <w:t>Are there any other persons or groups that face difficulties in accessing or maintaining secure tenure (for example, due to internal displacement)?</w:t>
      </w:r>
    </w:p>
    <w:p w14:paraId="18325449" w14:textId="2DB72CEC" w:rsidR="00021297" w:rsidRDefault="00021297" w:rsidP="00021297">
      <w:pPr>
        <w:pStyle w:val="NormalIndent"/>
        <w:ind w:left="1418"/>
      </w:pPr>
      <w:r>
        <w:t xml:space="preserve">Since Nepal stopped issuing Refugee Certificates for Tibetans in 1959, there is some evidence that Tibetans who have fled to Nepal </w:t>
      </w:r>
      <w:r w:rsidR="008873A3">
        <w:t xml:space="preserve">have been </w:t>
      </w:r>
      <w:r>
        <w:t>marginalised</w:t>
      </w:r>
      <w:r w:rsidR="008873A3">
        <w:t>,</w:t>
      </w:r>
      <w:r>
        <w:t xml:space="preserve"> and have difficulty with secure tenure and freedom of movement.</w:t>
      </w:r>
      <w:r>
        <w:rPr>
          <w:rStyle w:val="FootnoteReference"/>
        </w:rPr>
        <w:footnoteReference w:id="138"/>
      </w:r>
    </w:p>
    <w:p w14:paraId="5DD84178" w14:textId="7A6E1165" w:rsidR="00021297" w:rsidRPr="00233EFD" w:rsidRDefault="00021297" w:rsidP="00021297">
      <w:pPr>
        <w:pStyle w:val="NormalIndent"/>
        <w:ind w:left="1418"/>
      </w:pPr>
      <w:r>
        <w:t xml:space="preserve">Otherwise, we are not aware of persons or groups that face </w:t>
      </w:r>
      <w:r w:rsidR="00B72008">
        <w:t>unique d</w:t>
      </w:r>
      <w:r w:rsidR="00B72008" w:rsidRPr="00021297">
        <w:t>ifficult</w:t>
      </w:r>
      <w:r w:rsidR="00B72008">
        <w:t>y</w:t>
      </w:r>
      <w:r w:rsidR="00B72008" w:rsidRPr="00021297">
        <w:t xml:space="preserve"> </w:t>
      </w:r>
      <w:r w:rsidRPr="00021297">
        <w:t>in accessing or maintaining secure tenure</w:t>
      </w:r>
      <w:r>
        <w:t>.</w:t>
      </w:r>
    </w:p>
    <w:p w14:paraId="4C548756" w14:textId="77777777" w:rsidR="00021297" w:rsidRPr="00233EFD" w:rsidRDefault="00021297" w:rsidP="00021297">
      <w:pPr>
        <w:pStyle w:val="AllensHeading3"/>
        <w:numPr>
          <w:ilvl w:val="0"/>
          <w:numId w:val="0"/>
        </w:numPr>
        <w:ind w:left="1418"/>
        <w:rPr>
          <w:b/>
        </w:rPr>
      </w:pPr>
    </w:p>
    <w:p w14:paraId="61D8D9EA" w14:textId="77777777" w:rsidR="00DA29DA" w:rsidRDefault="00DA29DA">
      <w:pPr>
        <w:spacing w:before="0" w:after="200" w:line="276" w:lineRule="auto"/>
        <w:rPr>
          <w:b/>
        </w:rPr>
      </w:pPr>
      <w:r>
        <w:rPr>
          <w:b/>
        </w:rPr>
        <w:br w:type="page"/>
      </w:r>
    </w:p>
    <w:p w14:paraId="572CC085" w14:textId="77777777" w:rsidR="002D47F2" w:rsidRDefault="002D47F2" w:rsidP="00E273DA">
      <w:pPr>
        <w:pStyle w:val="AllensHeading1"/>
        <w:rPr>
          <w:rFonts w:eastAsiaTheme="minorHAnsi"/>
          <w:lang w:eastAsia="en-US"/>
        </w:rPr>
      </w:pPr>
      <w:bookmarkStart w:id="86" w:name="_Toc8914068"/>
      <w:bookmarkStart w:id="87" w:name="Eviction_Expropriation_Relocation"/>
      <w:r>
        <w:rPr>
          <w:rFonts w:eastAsiaTheme="minorHAnsi"/>
          <w:lang w:eastAsia="en-US"/>
        </w:rPr>
        <w:t>Eviction, Expropriation and Relocation</w:t>
      </w:r>
      <w:bookmarkEnd w:id="86"/>
    </w:p>
    <w:p w14:paraId="6AE29856" w14:textId="77777777" w:rsidR="002D47F2" w:rsidRDefault="002D47F2" w:rsidP="00E273DA">
      <w:pPr>
        <w:pStyle w:val="AllensHeading2"/>
        <w:rPr>
          <w:rFonts w:eastAsiaTheme="minorHAnsi"/>
          <w:lang w:eastAsia="en-US"/>
        </w:rPr>
      </w:pPr>
      <w:bookmarkStart w:id="88" w:name="_Toc8914069"/>
      <w:bookmarkStart w:id="89" w:name="Eviction"/>
      <w:bookmarkEnd w:id="87"/>
      <w:r>
        <w:rPr>
          <w:rFonts w:eastAsiaTheme="minorHAnsi"/>
          <w:lang w:eastAsia="en-US"/>
        </w:rPr>
        <w:t>Eviction</w:t>
      </w:r>
      <w:bookmarkEnd w:id="88"/>
    </w:p>
    <w:bookmarkEnd w:id="89"/>
    <w:p w14:paraId="11FB1C46" w14:textId="77777777" w:rsidR="002D47F2" w:rsidRPr="00233EFD" w:rsidRDefault="002D47F2" w:rsidP="00861359">
      <w:pPr>
        <w:pStyle w:val="AllensHeading3"/>
        <w:rPr>
          <w:rFonts w:eastAsiaTheme="minorHAnsi"/>
          <w:b/>
        </w:rPr>
      </w:pPr>
      <w:r w:rsidRPr="00233EFD">
        <w:rPr>
          <w:rFonts w:eastAsiaTheme="minorHAnsi"/>
          <w:b/>
        </w:rPr>
        <w:t>Are there laws or regulations prohibiting forced evictions?</w:t>
      </w:r>
    </w:p>
    <w:p w14:paraId="697854D0" w14:textId="77777777" w:rsidR="00233EFD" w:rsidRPr="004B7D65" w:rsidRDefault="00233EFD" w:rsidP="00233EFD">
      <w:pPr>
        <w:pStyle w:val="AllensHeading3"/>
        <w:numPr>
          <w:ilvl w:val="0"/>
          <w:numId w:val="0"/>
        </w:numPr>
        <w:tabs>
          <w:tab w:val="left" w:pos="720"/>
        </w:tabs>
        <w:ind w:left="1418"/>
      </w:pPr>
      <w:r w:rsidRPr="004B7D65">
        <w:t xml:space="preserve">The Constitution guarantees the right to housing under Part 3 (Fundamental Rights and Duties). Article 37 provides that </w:t>
      </w:r>
      <w:r w:rsidR="0027086D" w:rsidRPr="004B7D65">
        <w:t>'</w:t>
      </w:r>
      <w:r w:rsidRPr="004B7D65">
        <w:t>(1) Every citizen shall have the right to appropriate housing; and that (2) No citizen shall be evicted from the residence owned by him or her nor shall his or her residence be infringed in accordance with law</w:t>
      </w:r>
      <w:r w:rsidR="0027086D" w:rsidRPr="004B7D65">
        <w:t>'</w:t>
      </w:r>
      <w:r w:rsidRPr="004B7D65">
        <w:t xml:space="preserve">. </w:t>
      </w:r>
    </w:p>
    <w:p w14:paraId="485A8FEC" w14:textId="5CD0C5F2" w:rsidR="00AF4782" w:rsidRDefault="00233EFD" w:rsidP="00233EFD">
      <w:pPr>
        <w:pStyle w:val="NormalIndent"/>
        <w:ind w:left="1418"/>
      </w:pPr>
      <w:r w:rsidRPr="004B7D65">
        <w:t>The Constitution allow</w:t>
      </w:r>
      <w:r w:rsidR="00D66AA1">
        <w:t>s</w:t>
      </w:r>
      <w:r w:rsidRPr="004B7D65">
        <w:t xml:space="preserve"> the </w:t>
      </w:r>
      <w:r w:rsidR="00D66AA1">
        <w:t>S</w:t>
      </w:r>
      <w:r w:rsidR="00D66AA1" w:rsidRPr="004B7D65">
        <w:t xml:space="preserve">tate </w:t>
      </w:r>
      <w:r w:rsidRPr="004B7D65">
        <w:t xml:space="preserve">to acquire land, provided that such an acquisition is in the public interest and that the </w:t>
      </w:r>
      <w:r w:rsidR="00092F5E">
        <w:t>G</w:t>
      </w:r>
      <w:r w:rsidRPr="004B7D65">
        <w:t>overnment compensates landowners for land-taking by paying an amount in cash at market value.</w:t>
      </w:r>
      <w:r w:rsidRPr="004B7D65">
        <w:rPr>
          <w:rStyle w:val="FootnoteReference"/>
        </w:rPr>
        <w:footnoteReference w:id="139"/>
      </w:r>
      <w:r w:rsidRPr="004B7D65">
        <w:t xml:space="preserve"> Public interest is not defined. The </w:t>
      </w:r>
      <w:r w:rsidR="00A904B9">
        <w:t>Lands Act</w:t>
      </w:r>
      <w:r w:rsidRPr="004B7D65">
        <w:t xml:space="preserve"> also requires the </w:t>
      </w:r>
      <w:r w:rsidR="00370540">
        <w:t>S</w:t>
      </w:r>
      <w:r w:rsidR="00370540" w:rsidRPr="004B7D65">
        <w:t xml:space="preserve">tate </w:t>
      </w:r>
      <w:r w:rsidRPr="004B7D65">
        <w:t>to recognise the rights of registered tenants, and to divide compensation equally between them and the landowners in the case of an acquisition.</w:t>
      </w:r>
      <w:r w:rsidRPr="004B7D65">
        <w:rPr>
          <w:rStyle w:val="FootnoteReference"/>
        </w:rPr>
        <w:footnoteReference w:id="140"/>
      </w:r>
    </w:p>
    <w:p w14:paraId="55501AD6" w14:textId="77777777" w:rsidR="002D47F2" w:rsidRPr="00233EFD" w:rsidRDefault="002D47F2" w:rsidP="00861359">
      <w:pPr>
        <w:pStyle w:val="AllensHeading3"/>
        <w:rPr>
          <w:rFonts w:eastAsiaTheme="minorHAnsi"/>
          <w:b/>
        </w:rPr>
      </w:pPr>
      <w:r w:rsidRPr="00233EFD">
        <w:rPr>
          <w:rFonts w:eastAsiaTheme="minorHAnsi"/>
          <w:b/>
        </w:rPr>
        <w:t>In practice, are those laws adhered to?</w:t>
      </w:r>
    </w:p>
    <w:p w14:paraId="7D22763B" w14:textId="74EE6DAF" w:rsidR="00233EFD" w:rsidRPr="004B7D65" w:rsidRDefault="00233EFD" w:rsidP="00233EFD">
      <w:pPr>
        <w:pStyle w:val="AllensHeading3"/>
        <w:numPr>
          <w:ilvl w:val="0"/>
          <w:numId w:val="0"/>
        </w:numPr>
        <w:tabs>
          <w:tab w:val="left" w:pos="720"/>
        </w:tabs>
        <w:ind w:left="1418"/>
      </w:pPr>
      <w:r w:rsidRPr="004B7D65">
        <w:t>In practice</w:t>
      </w:r>
      <w:r w:rsidR="00B72008">
        <w:t>,</w:t>
      </w:r>
      <w:r w:rsidRPr="004B7D65">
        <w:t xml:space="preserve"> eviction is common, forceful,</w:t>
      </w:r>
      <w:r w:rsidR="00FB312A">
        <w:t xml:space="preserve"> </w:t>
      </w:r>
      <w:r w:rsidRPr="004B7D65">
        <w:t xml:space="preserve">and those impacted receive little </w:t>
      </w:r>
      <w:r w:rsidR="00EB24DB">
        <w:t>or</w:t>
      </w:r>
      <w:r w:rsidR="00EB24DB" w:rsidRPr="004B7D65">
        <w:t xml:space="preserve"> </w:t>
      </w:r>
      <w:r w:rsidRPr="004B7D65">
        <w:t>no compensation.</w:t>
      </w:r>
      <w:r w:rsidRPr="004B7D65">
        <w:rPr>
          <w:rStyle w:val="FootnoteReference"/>
        </w:rPr>
        <w:footnoteReference w:id="141"/>
      </w:r>
      <w:r w:rsidRPr="004B7D65">
        <w:t xml:space="preserve"> Landowners evict unregistered tenants on a regular basis, often because they fear losing their land.</w:t>
      </w:r>
      <w:r w:rsidRPr="004B7D65">
        <w:rPr>
          <w:rStyle w:val="FootnoteReference"/>
        </w:rPr>
        <w:footnoteReference w:id="142"/>
      </w:r>
      <w:r w:rsidRPr="004B7D65">
        <w:t xml:space="preserve"> Informal tenure is not recognised, and without legal documentation the risk of eviction is constant.</w:t>
      </w:r>
      <w:r w:rsidRPr="004B7D65">
        <w:rPr>
          <w:rStyle w:val="FootnoteReference"/>
        </w:rPr>
        <w:footnoteReference w:id="143"/>
      </w:r>
      <w:r w:rsidRPr="004B7D65">
        <w:t xml:space="preserve"> Conflicts between the </w:t>
      </w:r>
      <w:r w:rsidR="00EB24DB">
        <w:t>G</w:t>
      </w:r>
      <w:r w:rsidRPr="004B7D65">
        <w:t>overnment and landless people is common, with forceful evictions commonplace, generally without compensation or offers for resettlement.</w:t>
      </w:r>
      <w:r w:rsidRPr="004B7D65">
        <w:rPr>
          <w:rStyle w:val="FootnoteReference"/>
        </w:rPr>
        <w:footnoteReference w:id="144"/>
      </w:r>
      <w:r w:rsidRPr="004B7D65">
        <w:t xml:space="preserve"> It is estimated that </w:t>
      </w:r>
      <w:r w:rsidR="00C057BA">
        <w:t xml:space="preserve">as at 2017 </w:t>
      </w:r>
      <w:r w:rsidR="00EB24DB">
        <w:t xml:space="preserve">the </w:t>
      </w:r>
      <w:r w:rsidR="00C057BA">
        <w:t xml:space="preserve">then </w:t>
      </w:r>
      <w:r w:rsidR="00EB24DB">
        <w:t>current G</w:t>
      </w:r>
      <w:r w:rsidRPr="004B7D65">
        <w:t xml:space="preserve">overnment </w:t>
      </w:r>
      <w:r w:rsidR="00C057BA">
        <w:t xml:space="preserve">had </w:t>
      </w:r>
      <w:r w:rsidRPr="004B7D65">
        <w:t xml:space="preserve">evicted 713 landless households for encroaching on community or </w:t>
      </w:r>
      <w:r w:rsidR="002A708A">
        <w:t>S</w:t>
      </w:r>
      <w:r w:rsidRPr="004B7D65">
        <w:t>tate land.</w:t>
      </w:r>
      <w:r w:rsidRPr="004B7D65">
        <w:rPr>
          <w:rStyle w:val="FootnoteReference"/>
        </w:rPr>
        <w:footnoteReference w:id="145"/>
      </w:r>
      <w:r w:rsidRPr="004B7D65">
        <w:t xml:space="preserve"> </w:t>
      </w:r>
    </w:p>
    <w:p w14:paraId="2E1EA441" w14:textId="77777777" w:rsidR="00233EFD" w:rsidRDefault="00233EFD" w:rsidP="00233EFD">
      <w:pPr>
        <w:pStyle w:val="AllensHeading3"/>
        <w:numPr>
          <w:ilvl w:val="0"/>
          <w:numId w:val="0"/>
        </w:numPr>
        <w:tabs>
          <w:tab w:val="left" w:pos="720"/>
        </w:tabs>
        <w:ind w:left="1418"/>
      </w:pPr>
      <w:r w:rsidRPr="004B7D65">
        <w:t>In respect of internally displaced people occupying informal settlement camps, no forced eviction has been reported, but camp dwellers, especially in Kathmandu, live in fear of eviction from their temporary shelters.</w:t>
      </w:r>
      <w:r w:rsidRPr="004B7D65">
        <w:rPr>
          <w:rStyle w:val="FootnoteReference"/>
        </w:rPr>
        <w:footnoteReference w:id="146"/>
      </w:r>
      <w:r>
        <w:t xml:space="preserve"> </w:t>
      </w:r>
    </w:p>
    <w:p w14:paraId="68901DF7" w14:textId="77777777" w:rsidR="002D47F2" w:rsidRDefault="002D47F2" w:rsidP="00E273DA">
      <w:pPr>
        <w:pStyle w:val="AllensHeading2"/>
        <w:rPr>
          <w:rFonts w:eastAsiaTheme="minorHAnsi"/>
          <w:lang w:eastAsia="en-US"/>
        </w:rPr>
      </w:pPr>
      <w:bookmarkStart w:id="90" w:name="_Toc8914070"/>
      <w:bookmarkStart w:id="91" w:name="Expropriation"/>
      <w:r>
        <w:rPr>
          <w:rFonts w:eastAsiaTheme="minorHAnsi"/>
          <w:lang w:eastAsia="en-US"/>
        </w:rPr>
        <w:t>Expropriation</w:t>
      </w:r>
      <w:bookmarkEnd w:id="90"/>
    </w:p>
    <w:bookmarkEnd w:id="91"/>
    <w:p w14:paraId="7BDA6A16" w14:textId="77777777" w:rsidR="002D47F2" w:rsidRPr="00AF4782" w:rsidRDefault="002D47F2" w:rsidP="00861359">
      <w:pPr>
        <w:pStyle w:val="AllensHeading3"/>
        <w:rPr>
          <w:rFonts w:eastAsiaTheme="minorHAnsi"/>
          <w:b/>
        </w:rPr>
      </w:pPr>
      <w:r w:rsidRPr="00AF4782">
        <w:rPr>
          <w:b/>
        </w:rPr>
        <w:t>Are there laws or regulations permitting the government to expropriate land?</w:t>
      </w:r>
    </w:p>
    <w:p w14:paraId="0524DAA3" w14:textId="77777777" w:rsidR="00AF4782" w:rsidRDefault="00AF4782" w:rsidP="00AF4782">
      <w:pPr>
        <w:ind w:left="1418"/>
      </w:pPr>
      <w:r>
        <w:t xml:space="preserve">The Constitution allows the </w:t>
      </w:r>
      <w:r w:rsidR="00092F5E">
        <w:t>G</w:t>
      </w:r>
      <w:r>
        <w:t>overnment to expropriate land 'in the public interest'.</w:t>
      </w:r>
      <w:r>
        <w:rPr>
          <w:rStyle w:val="FootnoteReference"/>
        </w:rPr>
        <w:footnoteReference w:id="147"/>
      </w:r>
      <w:r>
        <w:t xml:space="preserve"> The </w:t>
      </w:r>
      <w:r w:rsidRPr="00AF4782">
        <w:t xml:space="preserve">Land Acquisition Act </w:t>
      </w:r>
      <w:r>
        <w:t>states that the Government has the right to acquire any land at any place for any public purpose it deems necessary, including, under certain circumstances, the right to acquire land at the request of an institution.</w:t>
      </w:r>
      <w:r>
        <w:rPr>
          <w:rStyle w:val="FootnoteReference"/>
        </w:rPr>
        <w:footnoteReference w:id="148"/>
      </w:r>
      <w:r>
        <w:t xml:space="preserve"> </w:t>
      </w:r>
    </w:p>
    <w:p w14:paraId="71E45071" w14:textId="10D19E83" w:rsidR="00AF4782" w:rsidRDefault="00AF4782" w:rsidP="00AF4782">
      <w:pPr>
        <w:ind w:left="1418"/>
      </w:pPr>
      <w:r>
        <w:t xml:space="preserve">The </w:t>
      </w:r>
      <w:r w:rsidR="00092F5E">
        <w:t xml:space="preserve">Land Acquisition </w:t>
      </w:r>
      <w:r>
        <w:t xml:space="preserve">Act </w:t>
      </w:r>
      <w:r w:rsidR="00EB24DB">
        <w:t>provides</w:t>
      </w:r>
      <w:r>
        <w:t xml:space="preserve"> that such expropriation must follow certain steps, including:</w:t>
      </w:r>
    </w:p>
    <w:p w14:paraId="5EEEE5DA" w14:textId="54BAC46F" w:rsidR="00AF4782" w:rsidRPr="00AF4782" w:rsidRDefault="00092F5E" w:rsidP="00AF4782">
      <w:pPr>
        <w:pStyle w:val="AllensHeading4"/>
        <w:numPr>
          <w:ilvl w:val="3"/>
          <w:numId w:val="12"/>
        </w:numPr>
      </w:pPr>
      <w:r>
        <w:t>the requirement of the G</w:t>
      </w:r>
      <w:r w:rsidR="00AF4782" w:rsidRPr="00AF4782">
        <w:t xml:space="preserve">overnment to notify the concerned persons of its intention </w:t>
      </w:r>
      <w:r w:rsidR="00EB24DB">
        <w:t>to</w:t>
      </w:r>
      <w:r w:rsidR="00EB24DB" w:rsidRPr="00AF4782">
        <w:t xml:space="preserve"> </w:t>
      </w:r>
      <w:r w:rsidR="00AF4782" w:rsidRPr="00AF4782">
        <w:t>acquire the land;</w:t>
      </w:r>
      <w:r w:rsidR="00AF4782" w:rsidRPr="00AF4782">
        <w:rPr>
          <w:rStyle w:val="FootnoteReference"/>
        </w:rPr>
        <w:footnoteReference w:id="149"/>
      </w:r>
    </w:p>
    <w:p w14:paraId="0DF4BE21" w14:textId="77777777" w:rsidR="00AF4782" w:rsidRPr="00AF4782" w:rsidRDefault="00AF4782" w:rsidP="00AF4782">
      <w:pPr>
        <w:pStyle w:val="AllensHeading4"/>
      </w:pPr>
      <w:r w:rsidRPr="00AF4782">
        <w:t>the right of th</w:t>
      </w:r>
      <w:r w:rsidR="00FB312A">
        <w:t>e landowner to file a complaint</w:t>
      </w:r>
      <w:r w:rsidRPr="00AF4782">
        <w:t xml:space="preserve"> with respect to the notification within seven days </w:t>
      </w:r>
      <w:r w:rsidR="00FB312A">
        <w:t xml:space="preserve">after that </w:t>
      </w:r>
      <w:r w:rsidRPr="00AF4782">
        <w:t>notice;</w:t>
      </w:r>
      <w:r w:rsidRPr="00AF4782">
        <w:rPr>
          <w:rStyle w:val="FootnoteReference"/>
        </w:rPr>
        <w:footnoteReference w:id="150"/>
      </w:r>
    </w:p>
    <w:p w14:paraId="012EBAFA" w14:textId="77777777" w:rsidR="00AF4782" w:rsidRPr="00AF4782" w:rsidRDefault="00AF4782" w:rsidP="00AF4782">
      <w:pPr>
        <w:pStyle w:val="AllensHeading4"/>
      </w:pPr>
      <w:r w:rsidRPr="00AF4782">
        <w:t>the requirements for a decision on such a complaint to be typically pronounced within 15 days of the complaint;</w:t>
      </w:r>
      <w:r w:rsidRPr="00AF4782">
        <w:rPr>
          <w:rStyle w:val="FootnoteReference"/>
        </w:rPr>
        <w:footnoteReference w:id="151"/>
      </w:r>
      <w:r w:rsidRPr="00AF4782">
        <w:t xml:space="preserve"> and</w:t>
      </w:r>
    </w:p>
    <w:p w14:paraId="78C7CB21" w14:textId="77777777" w:rsidR="00AF4782" w:rsidRPr="00AF4782" w:rsidRDefault="00AF4782" w:rsidP="00AF4782">
      <w:pPr>
        <w:pStyle w:val="AllensHeading4"/>
      </w:pPr>
      <w:r w:rsidRPr="00AF4782">
        <w:t>if the decision allows the acquisition of land to proceed, the right of the relevant government official to take possession of the land.</w:t>
      </w:r>
      <w:r w:rsidRPr="00AF4782">
        <w:rPr>
          <w:rStyle w:val="FootnoteReference"/>
        </w:rPr>
        <w:footnoteReference w:id="152"/>
      </w:r>
    </w:p>
    <w:p w14:paraId="23C8A7AE" w14:textId="77777777" w:rsidR="00AF4782" w:rsidRPr="00AF4782" w:rsidRDefault="00AF4782" w:rsidP="00AF4782">
      <w:pPr>
        <w:ind w:left="1418"/>
      </w:pPr>
      <w:r>
        <w:t>The requirements of th</w:t>
      </w:r>
      <w:r w:rsidR="00092F5E">
        <w:t xml:space="preserve">e Land Acquisition </w:t>
      </w:r>
      <w:r>
        <w:t xml:space="preserve">Act do not apply to any land acquired by the </w:t>
      </w:r>
      <w:r w:rsidR="00092F5E">
        <w:t>G</w:t>
      </w:r>
      <w:r>
        <w:t>overnment through private negotiations with landowners.</w:t>
      </w:r>
      <w:r>
        <w:rPr>
          <w:rStyle w:val="FootnoteReference"/>
        </w:rPr>
        <w:footnoteReference w:id="153"/>
      </w:r>
    </w:p>
    <w:p w14:paraId="63D5726F" w14:textId="77777777" w:rsidR="002D47F2" w:rsidRPr="00AF4782" w:rsidRDefault="002D47F2" w:rsidP="00861359">
      <w:pPr>
        <w:pStyle w:val="AllensHeading3"/>
        <w:rPr>
          <w:rFonts w:eastAsiaTheme="minorHAnsi"/>
          <w:b/>
        </w:rPr>
      </w:pPr>
      <w:bookmarkStart w:id="92" w:name="_Ref8807819"/>
      <w:r w:rsidRPr="00AF4782">
        <w:rPr>
          <w:rFonts w:eastAsiaTheme="minorHAnsi"/>
          <w:b/>
        </w:rPr>
        <w:t>If so, are those laws or regulations applicable in the context of a disaster?</w:t>
      </w:r>
      <w:bookmarkEnd w:id="92"/>
    </w:p>
    <w:p w14:paraId="0E93FD52" w14:textId="21B835F4" w:rsidR="00AF4782" w:rsidRDefault="00AF4782" w:rsidP="00AF4782">
      <w:pPr>
        <w:ind w:left="1418"/>
      </w:pPr>
      <w:r>
        <w:t>Under the procedure set out above, the Government has the right to take possession of land within a few weeks of notifying the landowner of the intended acquisition. These timeframes may not be appropriate in a disaster context</w:t>
      </w:r>
      <w:r w:rsidR="00EB24DB">
        <w:t>.</w:t>
      </w:r>
      <w:r>
        <w:t xml:space="preserve"> </w:t>
      </w:r>
      <w:r w:rsidR="00EB24DB">
        <w:t>H</w:t>
      </w:r>
      <w:r>
        <w:t xml:space="preserve">owever, the </w:t>
      </w:r>
      <w:r w:rsidRPr="00AF4782">
        <w:t>Land Acquisition Act</w:t>
      </w:r>
      <w:r>
        <w:rPr>
          <w:i/>
        </w:rPr>
        <w:t xml:space="preserve"> </w:t>
      </w:r>
      <w:r>
        <w:t xml:space="preserve">also provides that if an acquisition of land becomes urgently necessary, the </w:t>
      </w:r>
      <w:r w:rsidR="00092F5E">
        <w:t>G</w:t>
      </w:r>
      <w:r>
        <w:t xml:space="preserve">overnment may order the relevant local officer to </w:t>
      </w:r>
      <w:r w:rsidR="002A708A">
        <w:t xml:space="preserve">initiate </w:t>
      </w:r>
      <w:r>
        <w:t xml:space="preserve">the necessary action for acquisition of land, and the local officer may, in turn, issue a notice to a landowner and take possession of the land after the notice is issued. Other than with respect to compensation amounts, the landowner will not have a right of complaint in such a </w:t>
      </w:r>
      <w:r w:rsidR="002A708A">
        <w:t>case</w:t>
      </w:r>
      <w:r>
        <w:t>.</w:t>
      </w:r>
      <w:r>
        <w:rPr>
          <w:rStyle w:val="FootnoteReference"/>
        </w:rPr>
        <w:footnoteReference w:id="154"/>
      </w:r>
      <w:r>
        <w:t xml:space="preserve"> </w:t>
      </w:r>
    </w:p>
    <w:p w14:paraId="5E69E2F7" w14:textId="77777777" w:rsidR="00AF4782" w:rsidRPr="00C93AA5" w:rsidRDefault="00AF4782" w:rsidP="00C93AA5">
      <w:pPr>
        <w:ind w:left="1418"/>
      </w:pPr>
      <w:r>
        <w:t xml:space="preserve">The </w:t>
      </w:r>
      <w:r w:rsidR="00092F5E">
        <w:t xml:space="preserve">Land Acquisition </w:t>
      </w:r>
      <w:r>
        <w:t xml:space="preserve">Act states that this right may arise where the </w:t>
      </w:r>
      <w:r w:rsidR="00092F5E">
        <w:t>G</w:t>
      </w:r>
      <w:r>
        <w:t>overnment takes such an action to ensure</w:t>
      </w:r>
      <w:r w:rsidR="00EB24DB">
        <w:t xml:space="preserve"> the</w:t>
      </w:r>
      <w:r>
        <w:t xml:space="preserve"> safety of life and property against extensive damage, in a natural disaster situation, or </w:t>
      </w:r>
      <w:r w:rsidR="002A708A">
        <w:t xml:space="preserve">in </w:t>
      </w:r>
      <w:r>
        <w:t>any other extraordinary circumstances.</w:t>
      </w:r>
    </w:p>
    <w:p w14:paraId="1F351611" w14:textId="77777777" w:rsidR="002D47F2" w:rsidRDefault="002D47F2" w:rsidP="00E273DA">
      <w:pPr>
        <w:pStyle w:val="AllensHeading2"/>
        <w:rPr>
          <w:rFonts w:eastAsiaTheme="minorHAnsi"/>
          <w:lang w:eastAsia="en-US"/>
        </w:rPr>
      </w:pPr>
      <w:bookmarkStart w:id="93" w:name="_Toc8914071"/>
      <w:bookmarkStart w:id="94" w:name="Relocation"/>
      <w:r>
        <w:rPr>
          <w:rFonts w:eastAsiaTheme="minorHAnsi"/>
          <w:lang w:eastAsia="en-US"/>
        </w:rPr>
        <w:t>Relocation</w:t>
      </w:r>
      <w:bookmarkEnd w:id="93"/>
    </w:p>
    <w:bookmarkEnd w:id="94"/>
    <w:p w14:paraId="529C5913" w14:textId="77777777" w:rsidR="002D47F2" w:rsidRPr="00C93AA5" w:rsidRDefault="002D47F2" w:rsidP="00861359">
      <w:pPr>
        <w:pStyle w:val="AllensHeading3"/>
        <w:rPr>
          <w:b/>
        </w:rPr>
      </w:pPr>
      <w:r w:rsidRPr="00C93AA5">
        <w:rPr>
          <w:b/>
        </w:rPr>
        <w:t>Are there laws or regulations governing relocations?</w:t>
      </w:r>
    </w:p>
    <w:p w14:paraId="53121201" w14:textId="7D0C6B1C" w:rsidR="007F594A" w:rsidRDefault="007F594A" w:rsidP="007F594A">
      <w:pPr>
        <w:ind w:left="1418"/>
        <w:rPr>
          <w:rFonts w:cstheme="minorBidi"/>
          <w:szCs w:val="18"/>
          <w:lang w:val="en-US" w:bidi="ne-NP"/>
        </w:rPr>
      </w:pPr>
      <w:r>
        <w:t>In the aftermath of the 2015 Nepal earthquake, various laws were enacted, including to assist with the losses and relocation of victim families, as follows:</w:t>
      </w:r>
      <w:r w:rsidR="00B972EF">
        <w:rPr>
          <w:rStyle w:val="FootnoteReference"/>
        </w:rPr>
        <w:footnoteReference w:id="155"/>
      </w:r>
    </w:p>
    <w:p w14:paraId="7749A3F9" w14:textId="6268640B" w:rsidR="007F594A" w:rsidRDefault="00857055" w:rsidP="007F594A">
      <w:pPr>
        <w:pStyle w:val="AllensHeading4"/>
      </w:pPr>
      <w:r w:rsidRPr="00143BC5">
        <w:rPr>
          <w:i/>
        </w:rPr>
        <w:t>Reconstruction of</w:t>
      </w:r>
      <w:r>
        <w:rPr>
          <w:i/>
        </w:rPr>
        <w:t xml:space="preserve"> Earthquake </w:t>
      </w:r>
      <w:r w:rsidRPr="00143BC5">
        <w:rPr>
          <w:i/>
        </w:rPr>
        <w:t>Affected</w:t>
      </w:r>
      <w:r>
        <w:rPr>
          <w:i/>
        </w:rPr>
        <w:t xml:space="preserve"> Structures Act, 2072</w:t>
      </w:r>
      <w:r w:rsidRPr="00143BC5">
        <w:rPr>
          <w:i/>
        </w:rPr>
        <w:t xml:space="preserve"> </w:t>
      </w:r>
      <w:r>
        <w:t>(201</w:t>
      </w:r>
      <w:r w:rsidR="00B972EF">
        <w:t>5</w:t>
      </w:r>
      <w:r>
        <w:t>)</w:t>
      </w:r>
      <w:r w:rsidR="007F594A">
        <w:t>;</w:t>
      </w:r>
    </w:p>
    <w:p w14:paraId="5F249213" w14:textId="77777777" w:rsidR="007F594A" w:rsidRDefault="007F594A" w:rsidP="007F594A">
      <w:pPr>
        <w:pStyle w:val="AllensHeading4"/>
      </w:pPr>
      <w:bookmarkStart w:id="95" w:name="_Hlk8913603"/>
      <w:r w:rsidRPr="005117FD">
        <w:rPr>
          <w:i/>
        </w:rPr>
        <w:t>National Reconstruction and Resettlement Policy, 2072</w:t>
      </w:r>
      <w:r>
        <w:t xml:space="preserve"> (2016);</w:t>
      </w:r>
    </w:p>
    <w:p w14:paraId="1904BE3E" w14:textId="28169958" w:rsidR="007F594A" w:rsidRDefault="007F594A" w:rsidP="007F594A">
      <w:pPr>
        <w:pStyle w:val="AllensHeading4"/>
      </w:pPr>
      <w:r w:rsidRPr="005117FD">
        <w:rPr>
          <w:i/>
        </w:rPr>
        <w:t xml:space="preserve">Procedure for </w:t>
      </w:r>
      <w:r w:rsidR="00857055">
        <w:rPr>
          <w:i/>
        </w:rPr>
        <w:t>L</w:t>
      </w:r>
      <w:r w:rsidRPr="005117FD">
        <w:rPr>
          <w:i/>
        </w:rPr>
        <w:t xml:space="preserve">oan </w:t>
      </w:r>
      <w:r w:rsidR="00857055">
        <w:rPr>
          <w:i/>
        </w:rPr>
        <w:t>F</w:t>
      </w:r>
      <w:r w:rsidRPr="005117FD">
        <w:rPr>
          <w:i/>
        </w:rPr>
        <w:t xml:space="preserve">inancing for </w:t>
      </w:r>
      <w:r w:rsidR="00857055">
        <w:rPr>
          <w:i/>
        </w:rPr>
        <w:t>R</w:t>
      </w:r>
      <w:r w:rsidRPr="005117FD">
        <w:rPr>
          <w:i/>
        </w:rPr>
        <w:t xml:space="preserve">econstruction of </w:t>
      </w:r>
      <w:r w:rsidR="00857055">
        <w:rPr>
          <w:i/>
        </w:rPr>
        <w:t>E</w:t>
      </w:r>
      <w:r w:rsidRPr="005117FD">
        <w:rPr>
          <w:i/>
        </w:rPr>
        <w:t xml:space="preserve">arthquake </w:t>
      </w:r>
      <w:r w:rsidR="00857055">
        <w:rPr>
          <w:i/>
        </w:rPr>
        <w:t>A</w:t>
      </w:r>
      <w:r w:rsidRPr="005117FD">
        <w:rPr>
          <w:i/>
        </w:rPr>
        <w:t xml:space="preserve">ffected </w:t>
      </w:r>
      <w:r w:rsidR="00857055">
        <w:rPr>
          <w:i/>
        </w:rPr>
        <w:t>R</w:t>
      </w:r>
      <w:r w:rsidRPr="005117FD">
        <w:rPr>
          <w:i/>
        </w:rPr>
        <w:t xml:space="preserve">esidential </w:t>
      </w:r>
      <w:r w:rsidR="00857055">
        <w:rPr>
          <w:i/>
        </w:rPr>
        <w:t>H</w:t>
      </w:r>
      <w:r w:rsidRPr="005117FD">
        <w:rPr>
          <w:i/>
        </w:rPr>
        <w:t>ouses, 2072</w:t>
      </w:r>
      <w:r>
        <w:t xml:space="preserve"> (2016);</w:t>
      </w:r>
    </w:p>
    <w:p w14:paraId="6603141B" w14:textId="77777777" w:rsidR="007F594A" w:rsidRPr="00D7628A" w:rsidRDefault="007F594A" w:rsidP="007F594A">
      <w:pPr>
        <w:pStyle w:val="AllensHeading4"/>
      </w:pPr>
      <w:r w:rsidRPr="005117FD">
        <w:rPr>
          <w:i/>
        </w:rPr>
        <w:t xml:space="preserve">Procedure for Transfer and Relocation of </w:t>
      </w:r>
      <w:r w:rsidRPr="005117FD">
        <w:rPr>
          <w:i/>
          <w:lang w:val="en-US" w:bidi="ne-NP"/>
        </w:rPr>
        <w:t>Risky Settlements, 2073</w:t>
      </w:r>
      <w:r>
        <w:rPr>
          <w:lang w:val="en-US" w:bidi="ne-NP"/>
        </w:rPr>
        <w:t xml:space="preserve"> (2017); and</w:t>
      </w:r>
    </w:p>
    <w:p w14:paraId="1F2749DE" w14:textId="77777777" w:rsidR="007F594A" w:rsidRDefault="007F594A" w:rsidP="007F594A">
      <w:pPr>
        <w:pStyle w:val="AllensHeading4"/>
      </w:pPr>
      <w:r w:rsidRPr="005117FD">
        <w:rPr>
          <w:i/>
        </w:rPr>
        <w:t>Creation of Consolidated Residency Procedure, 2074</w:t>
      </w:r>
      <w:r>
        <w:t xml:space="preserve"> (2018).</w:t>
      </w:r>
    </w:p>
    <w:bookmarkEnd w:id="95"/>
    <w:p w14:paraId="41499F5E" w14:textId="77777777" w:rsidR="007F594A" w:rsidRDefault="007F594A" w:rsidP="007F594A">
      <w:pPr>
        <w:pStyle w:val="AllensHeading3"/>
        <w:numPr>
          <w:ilvl w:val="0"/>
          <w:numId w:val="0"/>
        </w:numPr>
        <w:ind w:left="1418"/>
      </w:pPr>
      <w:r>
        <w:t>These laws provide that:</w:t>
      </w:r>
    </w:p>
    <w:p w14:paraId="4073AB32" w14:textId="77777777" w:rsidR="007F594A" w:rsidRPr="005117FD" w:rsidRDefault="007F594A" w:rsidP="007F594A">
      <w:pPr>
        <w:pStyle w:val="Bullet3"/>
        <w:rPr>
          <w:b/>
        </w:rPr>
      </w:pPr>
      <w:r>
        <w:t xml:space="preserve">If it </w:t>
      </w:r>
      <w:r w:rsidR="002A708A">
        <w:t>is</w:t>
      </w:r>
      <w:r>
        <w:t xml:space="preserve"> inappropriate to resettle a family </w:t>
      </w:r>
      <w:r w:rsidR="002A708A">
        <w:t xml:space="preserve">in </w:t>
      </w:r>
      <w:r>
        <w:t>the place they previously resid</w:t>
      </w:r>
      <w:r w:rsidR="002A708A">
        <w:t>ed</w:t>
      </w:r>
      <w:r>
        <w:t xml:space="preserve"> at, relocation to an alternative safe place </w:t>
      </w:r>
      <w:r w:rsidR="002A708A">
        <w:t xml:space="preserve">should </w:t>
      </w:r>
      <w:r>
        <w:t>be managed.</w:t>
      </w:r>
      <w:r>
        <w:rPr>
          <w:rStyle w:val="FootnoteReference"/>
        </w:rPr>
        <w:footnoteReference w:id="156"/>
      </w:r>
      <w:r>
        <w:t xml:space="preserve"> </w:t>
      </w:r>
      <w:r w:rsidR="002A708A">
        <w:t>F</w:t>
      </w:r>
      <w:r>
        <w:t xml:space="preserve">amilies </w:t>
      </w:r>
      <w:r w:rsidR="002A708A">
        <w:t xml:space="preserve">are </w:t>
      </w:r>
      <w:r>
        <w:t>not permitted to reside in certain areas marked as dangerous.</w:t>
      </w:r>
      <w:r>
        <w:rPr>
          <w:rStyle w:val="FootnoteReference"/>
        </w:rPr>
        <w:footnoteReference w:id="157"/>
      </w:r>
      <w:r>
        <w:t xml:space="preserve"> </w:t>
      </w:r>
    </w:p>
    <w:p w14:paraId="307B7308" w14:textId="77777777" w:rsidR="007F594A" w:rsidRPr="005117FD" w:rsidRDefault="007F594A" w:rsidP="007F594A">
      <w:pPr>
        <w:pStyle w:val="Bullet3"/>
        <w:rPr>
          <w:b/>
        </w:rPr>
      </w:pPr>
      <w:r>
        <w:t xml:space="preserve">A </w:t>
      </w:r>
      <w:r>
        <w:rPr>
          <w:rFonts w:cstheme="minorBidi"/>
          <w:szCs w:val="18"/>
          <w:lang w:val="en-US" w:bidi="ne-NP"/>
        </w:rPr>
        <w:t xml:space="preserve">Consumer’s Committee </w:t>
      </w:r>
      <w:r w:rsidR="002A708A">
        <w:rPr>
          <w:rFonts w:cstheme="minorBidi"/>
          <w:szCs w:val="18"/>
          <w:lang w:val="en-US" w:bidi="ne-NP"/>
        </w:rPr>
        <w:t>should</w:t>
      </w:r>
      <w:r>
        <w:rPr>
          <w:rFonts w:cstheme="minorBidi"/>
          <w:szCs w:val="18"/>
          <w:lang w:val="en-US" w:bidi="ne-NP"/>
        </w:rPr>
        <w:t xml:space="preserve"> be formed to determine safe place</w:t>
      </w:r>
      <w:r w:rsidR="002A708A">
        <w:rPr>
          <w:rFonts w:cstheme="minorBidi"/>
          <w:szCs w:val="18"/>
          <w:lang w:val="en-US" w:bidi="ne-NP"/>
        </w:rPr>
        <w:t>s</w:t>
      </w:r>
      <w:r>
        <w:rPr>
          <w:rFonts w:cstheme="minorBidi"/>
          <w:szCs w:val="18"/>
          <w:lang w:val="en-US" w:bidi="ne-NP"/>
        </w:rPr>
        <w:t xml:space="preserve"> for relocation, and relocation </w:t>
      </w:r>
      <w:r w:rsidR="002A708A">
        <w:rPr>
          <w:rFonts w:cstheme="minorBidi"/>
          <w:szCs w:val="18"/>
          <w:lang w:val="en-US" w:bidi="ne-NP"/>
        </w:rPr>
        <w:t xml:space="preserve">should be </w:t>
      </w:r>
      <w:r>
        <w:rPr>
          <w:rFonts w:cstheme="minorBidi"/>
          <w:szCs w:val="18"/>
          <w:lang w:val="en-US" w:bidi="ne-NP"/>
        </w:rPr>
        <w:t>made through Consolidated Residency Planning.</w:t>
      </w:r>
      <w:r>
        <w:rPr>
          <w:rStyle w:val="FootnoteReference"/>
          <w:rFonts w:cstheme="minorBidi"/>
          <w:szCs w:val="18"/>
          <w:lang w:val="en-US" w:bidi="ne-NP"/>
        </w:rPr>
        <w:footnoteReference w:id="158"/>
      </w:r>
    </w:p>
    <w:p w14:paraId="0AF8D9E5" w14:textId="77777777" w:rsidR="007F594A" w:rsidRPr="00C93AA5" w:rsidRDefault="007F594A" w:rsidP="007F594A">
      <w:pPr>
        <w:pStyle w:val="Bullet3"/>
        <w:rPr>
          <w:b/>
        </w:rPr>
      </w:pPr>
      <w:r>
        <w:rPr>
          <w:rFonts w:cstheme="minorBidi"/>
          <w:szCs w:val="18"/>
          <w:lang w:val="en-US" w:bidi="ne-NP"/>
        </w:rPr>
        <w:t xml:space="preserve">Reconstruction of a settlement </w:t>
      </w:r>
      <w:r w:rsidR="002A708A">
        <w:rPr>
          <w:rFonts w:cstheme="minorBidi"/>
          <w:szCs w:val="18"/>
          <w:lang w:val="en-US" w:bidi="ne-NP"/>
        </w:rPr>
        <w:t xml:space="preserve">should </w:t>
      </w:r>
      <w:r>
        <w:rPr>
          <w:rFonts w:cstheme="minorBidi"/>
          <w:szCs w:val="18"/>
          <w:lang w:val="en-US" w:bidi="ne-NP"/>
        </w:rPr>
        <w:t xml:space="preserve">generally </w:t>
      </w:r>
      <w:r w:rsidR="002A708A">
        <w:rPr>
          <w:rFonts w:cstheme="minorBidi"/>
          <w:szCs w:val="18"/>
          <w:lang w:val="en-US" w:bidi="ne-NP"/>
        </w:rPr>
        <w:t xml:space="preserve">occur </w:t>
      </w:r>
      <w:r>
        <w:rPr>
          <w:rFonts w:cstheme="minorBidi"/>
          <w:szCs w:val="18"/>
          <w:lang w:val="en-US" w:bidi="ne-NP"/>
        </w:rPr>
        <w:t xml:space="preserve">in the place </w:t>
      </w:r>
      <w:r w:rsidR="002A708A">
        <w:rPr>
          <w:rFonts w:cstheme="minorBidi"/>
          <w:szCs w:val="18"/>
          <w:lang w:val="en-US" w:bidi="ne-NP"/>
        </w:rPr>
        <w:t xml:space="preserve">a </w:t>
      </w:r>
      <w:r>
        <w:rPr>
          <w:rFonts w:cstheme="minorBidi"/>
          <w:szCs w:val="18"/>
          <w:lang w:val="en-US" w:bidi="ne-NP"/>
        </w:rPr>
        <w:t xml:space="preserve">settlement previously existed, and where relocation </w:t>
      </w:r>
      <w:r w:rsidR="002A708A">
        <w:rPr>
          <w:rFonts w:cstheme="minorBidi"/>
          <w:szCs w:val="18"/>
          <w:lang w:val="en-US" w:bidi="ne-NP"/>
        </w:rPr>
        <w:t xml:space="preserve">is </w:t>
      </w:r>
      <w:r>
        <w:rPr>
          <w:rFonts w:cstheme="minorBidi"/>
          <w:szCs w:val="18"/>
          <w:lang w:val="en-US" w:bidi="ne-NP"/>
        </w:rPr>
        <w:t xml:space="preserve">necessary, the settlement </w:t>
      </w:r>
      <w:r w:rsidR="002A708A">
        <w:rPr>
          <w:rFonts w:cstheme="minorBidi"/>
          <w:szCs w:val="18"/>
          <w:lang w:val="en-US" w:bidi="ne-NP"/>
        </w:rPr>
        <w:t xml:space="preserve">should </w:t>
      </w:r>
      <w:r>
        <w:rPr>
          <w:rFonts w:cstheme="minorBidi"/>
          <w:szCs w:val="18"/>
          <w:lang w:val="en-US" w:bidi="ne-NP"/>
        </w:rPr>
        <w:t>be relocated nearby or in the same district, to minimi</w:t>
      </w:r>
      <w:r w:rsidR="002A708A">
        <w:rPr>
          <w:rFonts w:cstheme="minorBidi"/>
          <w:szCs w:val="18"/>
          <w:lang w:val="en-US" w:bidi="ne-NP"/>
        </w:rPr>
        <w:t>s</w:t>
      </w:r>
      <w:r>
        <w:rPr>
          <w:rFonts w:cstheme="minorBidi"/>
          <w:szCs w:val="18"/>
          <w:lang w:val="en-US" w:bidi="ne-NP"/>
        </w:rPr>
        <w:t xml:space="preserve">e any negative impact on </w:t>
      </w:r>
      <w:r w:rsidR="002A708A">
        <w:rPr>
          <w:rFonts w:cstheme="minorBidi"/>
          <w:szCs w:val="18"/>
          <w:lang w:val="en-US" w:bidi="ne-NP"/>
        </w:rPr>
        <w:t>peoples'</w:t>
      </w:r>
      <w:r>
        <w:rPr>
          <w:rFonts w:cstheme="minorBidi"/>
          <w:szCs w:val="18"/>
          <w:lang w:val="en-US" w:bidi="ne-NP"/>
        </w:rPr>
        <w:t xml:space="preserve"> culture and tradition.</w:t>
      </w:r>
      <w:r>
        <w:rPr>
          <w:rStyle w:val="FootnoteReference"/>
          <w:rFonts w:cstheme="minorBidi"/>
          <w:szCs w:val="18"/>
          <w:lang w:val="en-US" w:bidi="ne-NP"/>
        </w:rPr>
        <w:footnoteReference w:id="159"/>
      </w:r>
    </w:p>
    <w:p w14:paraId="3095BBE0" w14:textId="70FB4A74" w:rsidR="00C93AA5" w:rsidRDefault="002A708A" w:rsidP="00C93AA5">
      <w:pPr>
        <w:ind w:left="1418"/>
      </w:pPr>
      <w:r>
        <w:t xml:space="preserve">The Government also prepared a </w:t>
      </w:r>
      <w:r w:rsidR="00C93AA5">
        <w:t>Resettlement Policy Framework</w:t>
      </w:r>
      <w:r w:rsidR="006977C4">
        <w:t>,</w:t>
      </w:r>
      <w:r w:rsidR="00C93AA5">
        <w:t xml:space="preserve"> </w:t>
      </w:r>
      <w:r w:rsidR="0062784B">
        <w:t xml:space="preserve">which </w:t>
      </w:r>
      <w:r w:rsidR="00C93AA5">
        <w:t>prescribe</w:t>
      </w:r>
      <w:r w:rsidR="0062784B">
        <w:t>s</w:t>
      </w:r>
      <w:r w:rsidR="00C93AA5">
        <w:t xml:space="preserve"> the approach </w:t>
      </w:r>
      <w:r w:rsidR="0062784B">
        <w:t xml:space="preserve">to resettlement </w:t>
      </w:r>
      <w:r>
        <w:t xml:space="preserve">for </w:t>
      </w:r>
      <w:r w:rsidR="0062784B">
        <w:t>earthquake</w:t>
      </w:r>
      <w:r>
        <w:t xml:space="preserve">-affected families, </w:t>
      </w:r>
      <w:r w:rsidR="006977C4">
        <w:t xml:space="preserve">including </w:t>
      </w:r>
      <w:r>
        <w:t xml:space="preserve">the </w:t>
      </w:r>
      <w:r w:rsidR="006977C4">
        <w:t>provision of grants for reconstruction and</w:t>
      </w:r>
      <w:r>
        <w:t xml:space="preserve"> (</w:t>
      </w:r>
      <w:r w:rsidR="006977C4">
        <w:t>if necessary</w:t>
      </w:r>
      <w:r>
        <w:t xml:space="preserve">) </w:t>
      </w:r>
      <w:r w:rsidR="006977C4">
        <w:t>land</w:t>
      </w:r>
      <w:r w:rsidR="00C93AA5">
        <w:t>.</w:t>
      </w:r>
      <w:r w:rsidR="00C93AA5">
        <w:rPr>
          <w:rStyle w:val="FootnoteReference"/>
        </w:rPr>
        <w:footnoteReference w:id="160"/>
      </w:r>
      <w:r w:rsidR="00C93AA5">
        <w:t xml:space="preserve">  </w:t>
      </w:r>
    </w:p>
    <w:p w14:paraId="7B5546F4" w14:textId="73644816" w:rsidR="002D47F2" w:rsidRPr="00C93AA5" w:rsidRDefault="002D47F2" w:rsidP="00861359">
      <w:pPr>
        <w:pStyle w:val="AllensHeading3"/>
        <w:rPr>
          <w:b/>
        </w:rPr>
      </w:pPr>
      <w:bookmarkStart w:id="96" w:name="_Ref8807780"/>
      <w:r w:rsidRPr="00C93AA5">
        <w:rPr>
          <w:b/>
        </w:rPr>
        <w:t>Are there any other laws or regulations (i</w:t>
      </w:r>
      <w:r w:rsidR="00AC3AC6">
        <w:rPr>
          <w:b/>
        </w:rPr>
        <w:t>.</w:t>
      </w:r>
      <w:r w:rsidRPr="00C93AA5">
        <w:rPr>
          <w:b/>
        </w:rPr>
        <w:t>e</w:t>
      </w:r>
      <w:r w:rsidR="00AC3AC6">
        <w:rPr>
          <w:b/>
        </w:rPr>
        <w:t>.</w:t>
      </w:r>
      <w:r w:rsidRPr="00C93AA5">
        <w:rPr>
          <w:b/>
        </w:rPr>
        <w:t xml:space="preserve"> human rights instruments) that are applicable to relocations?</w:t>
      </w:r>
      <w:bookmarkEnd w:id="96"/>
    </w:p>
    <w:p w14:paraId="119002E4" w14:textId="77777777" w:rsidR="007F594A" w:rsidRDefault="007F594A" w:rsidP="007F594A">
      <w:pPr>
        <w:ind w:left="1418"/>
      </w:pPr>
      <w:r>
        <w:t>T</w:t>
      </w:r>
      <w:r w:rsidRPr="0010130D">
        <w:t xml:space="preserve">here are other </w:t>
      </w:r>
      <w:r>
        <w:t xml:space="preserve">laws </w:t>
      </w:r>
      <w:r w:rsidR="002A708A">
        <w:t xml:space="preserve">which </w:t>
      </w:r>
      <w:r>
        <w:t xml:space="preserve">provide for </w:t>
      </w:r>
      <w:r w:rsidRPr="0010130D">
        <w:t>relocation</w:t>
      </w:r>
      <w:r w:rsidR="00EE3894">
        <w:t xml:space="preserve">, such as the </w:t>
      </w:r>
      <w:bookmarkStart w:id="97" w:name="_Hlk8913666"/>
      <w:r w:rsidRPr="00FD7306">
        <w:rPr>
          <w:i/>
        </w:rPr>
        <w:t>Mitigation and Management of Risk of Disasters Act, 2074</w:t>
      </w:r>
      <w:r w:rsidRPr="0010130D">
        <w:t xml:space="preserve"> (2018)</w:t>
      </w:r>
      <w:bookmarkEnd w:id="97"/>
      <w:r w:rsidR="00EE3894">
        <w:t xml:space="preserve">. </w:t>
      </w:r>
      <w:r w:rsidRPr="0010130D">
        <w:t xml:space="preserve">Chapter 7 of this Act establishes a District </w:t>
      </w:r>
      <w:r w:rsidR="002A708A">
        <w:t>L</w:t>
      </w:r>
      <w:r w:rsidRPr="0010130D">
        <w:t>evel or Local Level Disaster Management Committee</w:t>
      </w:r>
      <w:r w:rsidR="002A708A">
        <w:t>,</w:t>
      </w:r>
      <w:r w:rsidRPr="0010130D">
        <w:t xml:space="preserve"> which functions to help relocate the people of areas affected by the</w:t>
      </w:r>
      <w:r w:rsidR="002A708A">
        <w:t xml:space="preserve"> 2015</w:t>
      </w:r>
      <w:r w:rsidRPr="0010130D">
        <w:t xml:space="preserve"> </w:t>
      </w:r>
      <w:r w:rsidR="00EE3894">
        <w:t>earthquake</w:t>
      </w:r>
      <w:r w:rsidR="002A708A">
        <w:t>,</w:t>
      </w:r>
      <w:r w:rsidR="00EE3894">
        <w:t xml:space="preserve"> </w:t>
      </w:r>
      <w:r w:rsidRPr="0010130D">
        <w:t>and construct temporary settlement</w:t>
      </w:r>
      <w:r w:rsidR="00EE3894">
        <w:t>s</w:t>
      </w:r>
      <w:r w:rsidRPr="0010130D">
        <w:t xml:space="preserve"> in safe place</w:t>
      </w:r>
      <w:r w:rsidR="00EE3894">
        <w:t>s</w:t>
      </w:r>
      <w:r w:rsidRPr="0010130D">
        <w:t xml:space="preserve">. </w:t>
      </w:r>
      <w:r w:rsidR="002A708A">
        <w:t xml:space="preserve">Section </w:t>
      </w:r>
      <w:r w:rsidRPr="0010130D">
        <w:t xml:space="preserve">21 requires </w:t>
      </w:r>
      <w:r w:rsidR="00EE3894">
        <w:t>G</w:t>
      </w:r>
      <w:r w:rsidRPr="0010130D">
        <w:t xml:space="preserve">overnment offices, NGOs, local bodies, community, volunteers, civil society, private bodies, and individuals to help </w:t>
      </w:r>
      <w:r w:rsidR="00EE3894">
        <w:t xml:space="preserve">the </w:t>
      </w:r>
      <w:r w:rsidRPr="0010130D">
        <w:t xml:space="preserve">collection of data, evaluation of losses, rescue, resettlement and reconstruction </w:t>
      </w:r>
      <w:r w:rsidR="002A708A">
        <w:t xml:space="preserve">following natural </w:t>
      </w:r>
      <w:r w:rsidRPr="0010130D">
        <w:t>disasters.</w:t>
      </w:r>
      <w:r w:rsidRPr="00FD7306">
        <w:rPr>
          <w:vertAlign w:val="superscript"/>
        </w:rPr>
        <w:footnoteReference w:id="161"/>
      </w:r>
    </w:p>
    <w:p w14:paraId="0D0E5270" w14:textId="010EA0CE" w:rsidR="00C93AA5" w:rsidRDefault="007F594A" w:rsidP="00C93AA5">
      <w:pPr>
        <w:ind w:left="1418"/>
      </w:pPr>
      <w:r>
        <w:t>T</w:t>
      </w:r>
      <w:r w:rsidR="00C93AA5">
        <w:t>he Resettlement Policy Framework state</w:t>
      </w:r>
      <w:r w:rsidR="002A708A">
        <w:t>s</w:t>
      </w:r>
      <w:r w:rsidR="00C93AA5">
        <w:t xml:space="preserve"> that any replacement land provided to affected households </w:t>
      </w:r>
      <w:r w:rsidR="002A708A">
        <w:t xml:space="preserve">should </w:t>
      </w:r>
      <w:r w:rsidR="00C93AA5">
        <w:t>be screened for compliance with Nepali law and World Bank policies.</w:t>
      </w:r>
      <w:r w:rsidR="00C93AA5">
        <w:rPr>
          <w:rStyle w:val="FootnoteReference"/>
        </w:rPr>
        <w:footnoteReference w:id="162"/>
      </w:r>
      <w:r w:rsidR="00C93AA5">
        <w:t xml:space="preserve"> </w:t>
      </w:r>
    </w:p>
    <w:p w14:paraId="797D4AA8" w14:textId="77777777" w:rsidR="00EE3894" w:rsidRDefault="00EE3894" w:rsidP="00EE3894">
      <w:pPr>
        <w:ind w:left="1418"/>
      </w:pPr>
      <w:r>
        <w:t xml:space="preserve">Separately, relocation </w:t>
      </w:r>
      <w:r w:rsidR="002A708A">
        <w:t xml:space="preserve">has also been provided for to assist with </w:t>
      </w:r>
      <w:r>
        <w:t>project development</w:t>
      </w:r>
      <w:r w:rsidR="002A708A">
        <w:t xml:space="preserve"> initiatives</w:t>
      </w:r>
      <w:r>
        <w:t>. For instance, clause 8.2.1 of the Project Development Agreement states that the Land Acquisition Plan has been developed to ensure that 'the land acquisition process for the Project is undertaken in accordance with the Laws of Nepal and this Agreement, including measures to ensure satisfactory and timely resettlement of Project Affected People and Payment of appropriate compensation wherever necessary'.</w:t>
      </w:r>
      <w:r>
        <w:rPr>
          <w:rStyle w:val="FootnoteReference"/>
        </w:rPr>
        <w:footnoteReference w:id="163"/>
      </w:r>
    </w:p>
    <w:p w14:paraId="39D47771" w14:textId="77777777" w:rsidR="002D47F2" w:rsidRDefault="002D47F2" w:rsidP="00E273DA">
      <w:pPr>
        <w:pStyle w:val="AllensHeading2"/>
        <w:rPr>
          <w:rFonts w:eastAsiaTheme="minorHAnsi"/>
          <w:lang w:eastAsia="en-US"/>
        </w:rPr>
      </w:pPr>
      <w:bookmarkStart w:id="98" w:name="_Ref8807469"/>
      <w:bookmarkStart w:id="99" w:name="_Toc8914072"/>
      <w:r>
        <w:rPr>
          <w:rFonts w:eastAsiaTheme="minorHAnsi"/>
          <w:lang w:eastAsia="en-US"/>
        </w:rPr>
        <w:t>Compensation</w:t>
      </w:r>
      <w:bookmarkEnd w:id="98"/>
      <w:bookmarkEnd w:id="99"/>
    </w:p>
    <w:p w14:paraId="26F6F654" w14:textId="77777777" w:rsidR="002D47F2" w:rsidRPr="00C93AA5" w:rsidRDefault="002D47F2" w:rsidP="00861359">
      <w:pPr>
        <w:pStyle w:val="AllensHeading3"/>
        <w:rPr>
          <w:b/>
        </w:rPr>
      </w:pPr>
      <w:r w:rsidRPr="00C93AA5">
        <w:rPr>
          <w:b/>
        </w:rPr>
        <w:t>Are there laws or regulations providing compensation for people who are relocated, forcibly evicted, or whose land is expropriated?</w:t>
      </w:r>
    </w:p>
    <w:p w14:paraId="6B54CAE8" w14:textId="77777777" w:rsidR="00C93AA5" w:rsidRDefault="00C93AA5" w:rsidP="00C93AA5">
      <w:pPr>
        <w:ind w:left="1418"/>
      </w:pPr>
      <w:r>
        <w:t xml:space="preserve">The Constitution provides that the Government's right to expropriate land in the public interest is subject to the requirement to compensate concerned persons as prescribed by the relevant </w:t>
      </w:r>
      <w:r w:rsidR="0050537A">
        <w:t>legislation</w:t>
      </w:r>
      <w:r>
        <w:t>.</w:t>
      </w:r>
      <w:r>
        <w:rPr>
          <w:rStyle w:val="FootnoteReference"/>
        </w:rPr>
        <w:footnoteReference w:id="164"/>
      </w:r>
      <w:r>
        <w:t xml:space="preserve"> </w:t>
      </w:r>
    </w:p>
    <w:p w14:paraId="2EF910AE" w14:textId="4E189E37" w:rsidR="00C93AA5" w:rsidRDefault="00C93AA5" w:rsidP="00C93AA5">
      <w:pPr>
        <w:ind w:left="1418"/>
      </w:pPr>
      <w:r>
        <w:t xml:space="preserve">The </w:t>
      </w:r>
      <w:r w:rsidR="00092F5E">
        <w:t xml:space="preserve">Land Acquisition </w:t>
      </w:r>
      <w:r>
        <w:t xml:space="preserve">Act sets out steps </w:t>
      </w:r>
      <w:r w:rsidR="00EB24DB">
        <w:t xml:space="preserve">for </w:t>
      </w:r>
      <w:r>
        <w:t>determin</w:t>
      </w:r>
      <w:r w:rsidR="00EB24DB">
        <w:t>ing</w:t>
      </w:r>
      <w:r>
        <w:t xml:space="preserve"> persons eligible for compensation</w:t>
      </w:r>
      <w:r w:rsidR="00EB24DB">
        <w:t>,</w:t>
      </w:r>
      <w:r>
        <w:t xml:space="preserve"> including:</w:t>
      </w:r>
    </w:p>
    <w:p w14:paraId="2401BA5B" w14:textId="75D494F4" w:rsidR="00C93AA5" w:rsidRPr="00C93AA5" w:rsidRDefault="00C93AA5" w:rsidP="00C93AA5">
      <w:pPr>
        <w:pStyle w:val="AllensHeading4"/>
        <w:numPr>
          <w:ilvl w:val="3"/>
          <w:numId w:val="12"/>
        </w:numPr>
      </w:pPr>
      <w:r w:rsidRPr="00C93AA5">
        <w:t>the requirement for concerned persons to submit an application for compensation within a time limit of 15 days</w:t>
      </w:r>
      <w:r w:rsidR="00EB24DB">
        <w:t xml:space="preserve"> (</w:t>
      </w:r>
      <w:r w:rsidRPr="00C93AA5">
        <w:t xml:space="preserve">or greater if so </w:t>
      </w:r>
      <w:r w:rsidR="00CF051C">
        <w:t xml:space="preserve">permitted in </w:t>
      </w:r>
      <w:r w:rsidRPr="00C93AA5">
        <w:t>the notice of acquisition</w:t>
      </w:r>
      <w:r w:rsidR="00EB24DB">
        <w:t>)</w:t>
      </w:r>
      <w:r w:rsidRPr="00C93AA5">
        <w:t>;</w:t>
      </w:r>
      <w:r w:rsidRPr="00C93AA5">
        <w:rPr>
          <w:rStyle w:val="FootnoteReference"/>
        </w:rPr>
        <w:footnoteReference w:id="165"/>
      </w:r>
      <w:r w:rsidRPr="00C93AA5">
        <w:t xml:space="preserve"> </w:t>
      </w:r>
    </w:p>
    <w:p w14:paraId="7156F20C" w14:textId="77777777" w:rsidR="00C93AA5" w:rsidRPr="00C93AA5" w:rsidRDefault="00C93AA5" w:rsidP="00C93AA5">
      <w:pPr>
        <w:pStyle w:val="AllensHeading4"/>
      </w:pPr>
      <w:r w:rsidRPr="00C93AA5">
        <w:t xml:space="preserve">the requirement for </w:t>
      </w:r>
      <w:r w:rsidR="000C41B8">
        <w:t>a</w:t>
      </w:r>
      <w:r w:rsidRPr="00C93AA5">
        <w:t xml:space="preserve"> local officer to review the applications and issue </w:t>
      </w:r>
      <w:r w:rsidR="00B02C74">
        <w:t xml:space="preserve">a </w:t>
      </w:r>
      <w:r w:rsidRPr="00C93AA5">
        <w:t>notice listing persons eligible for compensation;</w:t>
      </w:r>
      <w:r w:rsidRPr="00C93AA5">
        <w:rPr>
          <w:rStyle w:val="FootnoteReference"/>
        </w:rPr>
        <w:footnoteReference w:id="166"/>
      </w:r>
    </w:p>
    <w:p w14:paraId="2F90B105" w14:textId="77777777" w:rsidR="00C93AA5" w:rsidRPr="00C93AA5" w:rsidRDefault="00C93AA5" w:rsidP="00C93AA5">
      <w:pPr>
        <w:pStyle w:val="AllensHeading4"/>
      </w:pPr>
      <w:r w:rsidRPr="00C93AA5">
        <w:t>the right of a person not satisfied with the list to file a complaint within 15 days of the notice;</w:t>
      </w:r>
      <w:r w:rsidRPr="00C93AA5">
        <w:rPr>
          <w:rStyle w:val="FootnoteReference"/>
        </w:rPr>
        <w:footnoteReference w:id="167"/>
      </w:r>
      <w:r w:rsidRPr="00C93AA5">
        <w:t xml:space="preserve"> and</w:t>
      </w:r>
    </w:p>
    <w:p w14:paraId="5CE3CDA1" w14:textId="77777777" w:rsidR="00C93AA5" w:rsidRPr="00C93AA5" w:rsidRDefault="00C93AA5" w:rsidP="00C93AA5">
      <w:pPr>
        <w:pStyle w:val="AllensHeading4"/>
      </w:pPr>
      <w:r w:rsidRPr="00C93AA5">
        <w:t>the requirement for a decision on such a complaint to be typically pronounced within 15 days of such complaint.</w:t>
      </w:r>
      <w:r w:rsidRPr="00C93AA5">
        <w:rPr>
          <w:rStyle w:val="FootnoteReference"/>
        </w:rPr>
        <w:footnoteReference w:id="168"/>
      </w:r>
    </w:p>
    <w:p w14:paraId="2A5477E6" w14:textId="31DA947A" w:rsidR="00C93AA5" w:rsidRDefault="00C93AA5" w:rsidP="00C93AA5">
      <w:pPr>
        <w:ind w:left="1418"/>
      </w:pPr>
      <w:r>
        <w:t xml:space="preserve">The </w:t>
      </w:r>
      <w:r w:rsidR="00092F5E">
        <w:t xml:space="preserve">Land Acquisition </w:t>
      </w:r>
      <w:r>
        <w:t>Act prescribe</w:t>
      </w:r>
      <w:r w:rsidR="000C41B8">
        <w:t>s</w:t>
      </w:r>
      <w:r>
        <w:t xml:space="preserve"> that compensation, payable in cash, shall be determined by a committee of relevant </w:t>
      </w:r>
      <w:r w:rsidR="00EB24DB">
        <w:t>G</w:t>
      </w:r>
      <w:r>
        <w:t>overnment officials.</w:t>
      </w:r>
      <w:r>
        <w:rPr>
          <w:rStyle w:val="FootnoteReference"/>
        </w:rPr>
        <w:footnoteReference w:id="169"/>
      </w:r>
      <w:r>
        <w:t xml:space="preserve"> Alternatively, </w:t>
      </w:r>
      <w:r w:rsidR="002A708A">
        <w:t>it</w:t>
      </w:r>
      <w:r>
        <w:t xml:space="preserve"> provides that if a landowner so wants, compensation may be obtained in the form of land elsewhere rather than cash.</w:t>
      </w:r>
      <w:r>
        <w:rPr>
          <w:rStyle w:val="FootnoteReference"/>
        </w:rPr>
        <w:footnoteReference w:id="170"/>
      </w:r>
    </w:p>
    <w:p w14:paraId="0588874D" w14:textId="0DAD463A" w:rsidR="00C93AA5" w:rsidRDefault="00C93AA5" w:rsidP="00C93AA5">
      <w:pPr>
        <w:ind w:left="1418"/>
      </w:pPr>
      <w:r>
        <w:t>When determining compensation, the committe</w:t>
      </w:r>
      <w:r w:rsidR="00092F5E">
        <w:t>e</w:t>
      </w:r>
      <w:r>
        <w:t xml:space="preserve"> must consider </w:t>
      </w:r>
      <w:r w:rsidR="002A708A">
        <w:t xml:space="preserve">any </w:t>
      </w:r>
      <w:r>
        <w:t xml:space="preserve">relevant guidelines issued by the </w:t>
      </w:r>
      <w:r w:rsidR="00092F5E">
        <w:t>G</w:t>
      </w:r>
      <w:r>
        <w:t xml:space="preserve">overnment, losses </w:t>
      </w:r>
      <w:r w:rsidR="002A708A">
        <w:t xml:space="preserve">likely to be </w:t>
      </w:r>
      <w:r>
        <w:t xml:space="preserve">suffered by </w:t>
      </w:r>
      <w:r w:rsidR="002A708A">
        <w:t xml:space="preserve">relocated </w:t>
      </w:r>
      <w:r>
        <w:t>person</w:t>
      </w:r>
      <w:r w:rsidR="002A708A">
        <w:t>s as a result of relocation</w:t>
      </w:r>
      <w:r>
        <w:t>, the price of the land at the time the notice of acquisition was published</w:t>
      </w:r>
      <w:r w:rsidR="002A708A">
        <w:t>,</w:t>
      </w:r>
      <w:r>
        <w:t xml:space="preserve"> and the value of any items acquired along with the land.</w:t>
      </w:r>
      <w:r>
        <w:rPr>
          <w:rStyle w:val="FootnoteReference"/>
        </w:rPr>
        <w:footnoteReference w:id="171"/>
      </w:r>
      <w:r>
        <w:t xml:space="preserve"> This </w:t>
      </w:r>
      <w:r w:rsidR="00F91140">
        <w:t xml:space="preserve">compensation </w:t>
      </w:r>
      <w:r>
        <w:t xml:space="preserve">regime </w:t>
      </w:r>
      <w:r w:rsidR="00C057BA">
        <w:t xml:space="preserve">also </w:t>
      </w:r>
      <w:r w:rsidR="00092F5E">
        <w:t>appl</w:t>
      </w:r>
      <w:r w:rsidR="00F91140">
        <w:t>ies</w:t>
      </w:r>
      <w:r w:rsidR="00092F5E">
        <w:t xml:space="preserve"> to land acquired by the G</w:t>
      </w:r>
      <w:r>
        <w:t xml:space="preserve">overnment in </w:t>
      </w:r>
      <w:r w:rsidR="00F91140">
        <w:t xml:space="preserve">a disaster context or emergency </w:t>
      </w:r>
      <w:r>
        <w:t>situation</w:t>
      </w:r>
      <w:r w:rsidR="00F91140">
        <w:t>.</w:t>
      </w:r>
      <w:r>
        <w:rPr>
          <w:rStyle w:val="FootnoteReference"/>
        </w:rPr>
        <w:footnoteReference w:id="172"/>
      </w:r>
    </w:p>
    <w:p w14:paraId="61BB5928" w14:textId="77777777" w:rsidR="00C93AA5" w:rsidRDefault="00C93AA5" w:rsidP="00C93AA5">
      <w:pPr>
        <w:ind w:left="1418"/>
      </w:pPr>
      <w:r>
        <w:t xml:space="preserve">A separate regime applies with respect to </w:t>
      </w:r>
      <w:r w:rsidRPr="000C41B8">
        <w:t>Guthi</w:t>
      </w:r>
      <w:r>
        <w:rPr>
          <w:i/>
        </w:rPr>
        <w:t xml:space="preserve"> </w:t>
      </w:r>
      <w:r>
        <w:t>land, or land held for charitable purposes.</w:t>
      </w:r>
      <w:r>
        <w:rPr>
          <w:rStyle w:val="FootnoteReference"/>
        </w:rPr>
        <w:footnoteReference w:id="173"/>
      </w:r>
      <w:r>
        <w:t xml:space="preserve"> </w:t>
      </w:r>
      <w:r w:rsidRPr="000C41B8">
        <w:t>The</w:t>
      </w:r>
      <w:r>
        <w:rPr>
          <w:i/>
        </w:rPr>
        <w:t xml:space="preserve"> </w:t>
      </w:r>
      <w:bookmarkStart w:id="100" w:name="_Hlk8913678"/>
      <w:r w:rsidRPr="0050537A">
        <w:rPr>
          <w:i/>
        </w:rPr>
        <w:t>Guthi Corporation Act</w:t>
      </w:r>
      <w:r w:rsidR="00F91140">
        <w:rPr>
          <w:i/>
        </w:rPr>
        <w:t>, 2033</w:t>
      </w:r>
      <w:r w:rsidRPr="0050537A">
        <w:rPr>
          <w:i/>
        </w:rPr>
        <w:t xml:space="preserve"> </w:t>
      </w:r>
      <w:r w:rsidR="00F91140" w:rsidRPr="00FD7306">
        <w:t>(</w:t>
      </w:r>
      <w:r w:rsidRPr="00FD7306">
        <w:t>1976</w:t>
      </w:r>
      <w:r w:rsidR="00F91140" w:rsidRPr="00FD7306">
        <w:t>)</w:t>
      </w:r>
      <w:bookmarkEnd w:id="100"/>
      <w:r>
        <w:t xml:space="preserve"> provides the </w:t>
      </w:r>
      <w:r w:rsidR="000C41B8">
        <w:t>G</w:t>
      </w:r>
      <w:r>
        <w:t xml:space="preserve">overnment with the right to acquire </w:t>
      </w:r>
      <w:r w:rsidR="00B02C74">
        <w:t xml:space="preserve">such </w:t>
      </w:r>
      <w:r>
        <w:t xml:space="preserve">land at a concessional rate if the </w:t>
      </w:r>
      <w:r w:rsidR="000C41B8">
        <w:t>G</w:t>
      </w:r>
      <w:r>
        <w:t>overnment believes it is necessary.</w:t>
      </w:r>
      <w:r>
        <w:rPr>
          <w:rStyle w:val="FootnoteReference"/>
        </w:rPr>
        <w:footnoteReference w:id="174"/>
      </w:r>
    </w:p>
    <w:p w14:paraId="6B58389B" w14:textId="77777777" w:rsidR="002D47F2" w:rsidRPr="000C41B8" w:rsidRDefault="002D47F2" w:rsidP="00861359">
      <w:pPr>
        <w:pStyle w:val="AllensHeading3"/>
        <w:rPr>
          <w:b/>
        </w:rPr>
      </w:pPr>
      <w:r w:rsidRPr="000C41B8">
        <w:rPr>
          <w:b/>
        </w:rPr>
        <w:t>In practice, are these laws or regulations adhered to?</w:t>
      </w:r>
    </w:p>
    <w:p w14:paraId="328093C9" w14:textId="197032CE" w:rsidR="000C41B8" w:rsidRDefault="000C41B8" w:rsidP="000C41B8">
      <w:pPr>
        <w:ind w:left="1418"/>
      </w:pPr>
      <w:r>
        <w:t xml:space="preserve">Although the legislative regime provides for compensation based on the value of the land, in practice, </w:t>
      </w:r>
      <w:r w:rsidR="00092F5E">
        <w:t xml:space="preserve">academic sources suggest that </w:t>
      </w:r>
      <w:r>
        <w:t>there is a risk that in parts of Nepal where land markets are weak or non-existent, landowners, who may typically be poor and vulnerable, will be insufficiently compensated.</w:t>
      </w:r>
      <w:r>
        <w:rPr>
          <w:rStyle w:val="FootnoteReference"/>
        </w:rPr>
        <w:footnoteReference w:id="175"/>
      </w:r>
      <w:r>
        <w:t xml:space="preserve"> </w:t>
      </w:r>
      <w:r w:rsidR="00092F5E">
        <w:t>These sources suggest that a</w:t>
      </w:r>
      <w:r>
        <w:t xml:space="preserve">s there is limited regulation </w:t>
      </w:r>
      <w:r w:rsidR="00A46D0E">
        <w:t>of</w:t>
      </w:r>
      <w:r>
        <w:t xml:space="preserve"> the land market, and a majority of transactions in rural areas take place informally between parties</w:t>
      </w:r>
      <w:r w:rsidR="00F91140">
        <w:t>.</w:t>
      </w:r>
      <w:r>
        <w:t xml:space="preserve"> </w:t>
      </w:r>
      <w:r w:rsidR="00F91140">
        <w:t>T</w:t>
      </w:r>
      <w:r>
        <w:t xml:space="preserve">here is also a concern regarding the extent of </w:t>
      </w:r>
      <w:r w:rsidR="00F91140">
        <w:t xml:space="preserve">relevant </w:t>
      </w:r>
      <w:r>
        <w:t>information available to the Government when making compensation decisions.</w:t>
      </w:r>
      <w:r>
        <w:rPr>
          <w:rStyle w:val="FootnoteReference"/>
        </w:rPr>
        <w:footnoteReference w:id="176"/>
      </w:r>
      <w:r w:rsidR="00092F5E">
        <w:t xml:space="preserve"> The inability for concerned persons to negotiate the compensation amount further exacerbates this risk.</w:t>
      </w:r>
      <w:r>
        <w:rPr>
          <w:rStyle w:val="FootnoteReference"/>
        </w:rPr>
        <w:footnoteReference w:id="177"/>
      </w:r>
      <w:r>
        <w:t xml:space="preserve"> </w:t>
      </w:r>
    </w:p>
    <w:p w14:paraId="09B25B11" w14:textId="0F85A49F" w:rsidR="000C41B8" w:rsidRDefault="000C41B8" w:rsidP="000C41B8">
      <w:pPr>
        <w:ind w:left="1418"/>
      </w:pPr>
      <w:r>
        <w:t xml:space="preserve">In practice, </w:t>
      </w:r>
      <w:r w:rsidR="006F65D3">
        <w:t xml:space="preserve">the Resettlement Policy Framework recognises that </w:t>
      </w:r>
      <w:r>
        <w:t xml:space="preserve">not all persons affected by </w:t>
      </w:r>
      <w:r w:rsidR="00B02C74">
        <w:t xml:space="preserve">an </w:t>
      </w:r>
      <w:r>
        <w:t>acquisition will be compensated.</w:t>
      </w:r>
      <w:r>
        <w:rPr>
          <w:rStyle w:val="FootnoteReference"/>
        </w:rPr>
        <w:footnoteReference w:id="178"/>
      </w:r>
      <w:r>
        <w:t xml:space="preserve"> Landowners, or persons with legal title (but no formal rights) are entitled to full compensation. </w:t>
      </w:r>
      <w:r w:rsidR="00A46D0E">
        <w:t>In relation</w:t>
      </w:r>
      <w:r>
        <w:t xml:space="preserve"> to tenancy land, the landowner and the tenant will each receive 50% compensation for the affected land. Temporary tenants or lessees will be compensated on the basis of the lease agreement. However, </w:t>
      </w:r>
      <w:r w:rsidR="006F65D3">
        <w:t xml:space="preserve">academic sources suggest that </w:t>
      </w:r>
      <w:r>
        <w:t>persons such as squatters or informal tenants may not be recognised as persons for the purpose of the compensation regime.</w:t>
      </w:r>
      <w:r>
        <w:rPr>
          <w:rStyle w:val="FootnoteReference"/>
        </w:rPr>
        <w:footnoteReference w:id="179"/>
      </w:r>
    </w:p>
    <w:p w14:paraId="1A5C54E0" w14:textId="66A6E386" w:rsidR="000C41B8" w:rsidRDefault="000C41B8" w:rsidP="000C41B8">
      <w:pPr>
        <w:ind w:left="1418"/>
      </w:pPr>
      <w:r>
        <w:t xml:space="preserve">The </w:t>
      </w:r>
      <w:r w:rsidR="006F65D3">
        <w:t xml:space="preserve">Resettlement Policy Framework also </w:t>
      </w:r>
      <w:r w:rsidR="00F91140">
        <w:t xml:space="preserve">provides </w:t>
      </w:r>
      <w:r w:rsidR="006F65D3">
        <w:t xml:space="preserve">that the </w:t>
      </w:r>
      <w:r>
        <w:t xml:space="preserve">compensation regime does not explicitly consider the long-term impact of the acquisition on the concerned persons, and </w:t>
      </w:r>
      <w:r w:rsidR="00A46D0E">
        <w:t>for</w:t>
      </w:r>
      <w:r>
        <w:t xml:space="preserve"> assets acquired along with the land, does not specify the criteria for determining compensation.</w:t>
      </w:r>
      <w:r>
        <w:rPr>
          <w:rStyle w:val="FootnoteReference"/>
        </w:rPr>
        <w:footnoteReference w:id="180"/>
      </w:r>
      <w:r>
        <w:t xml:space="preserve"> </w:t>
      </w:r>
      <w:r w:rsidR="00F91140">
        <w:t>T</w:t>
      </w:r>
      <w:r>
        <w:t>his may result in persons being inadequately compensated.</w:t>
      </w:r>
    </w:p>
    <w:p w14:paraId="6330C39B" w14:textId="3D4D7F24" w:rsidR="000C41B8" w:rsidRDefault="000C41B8" w:rsidP="000C41B8">
      <w:pPr>
        <w:ind w:left="1418"/>
      </w:pPr>
      <w:r>
        <w:t xml:space="preserve">Although the legislative regime </w:t>
      </w:r>
      <w:r w:rsidR="00F91140">
        <w:t xml:space="preserve">allows </w:t>
      </w:r>
      <w:r>
        <w:t>for compensation in the form of land</w:t>
      </w:r>
      <w:r w:rsidR="00F91140">
        <w:t>,</w:t>
      </w:r>
      <w:r>
        <w:t xml:space="preserve"> rather than cash, </w:t>
      </w:r>
      <w:r w:rsidR="006F65D3">
        <w:t xml:space="preserve">the Resettlement Policy Framework recognises that </w:t>
      </w:r>
      <w:r>
        <w:t xml:space="preserve">this may not always </w:t>
      </w:r>
      <w:r w:rsidR="00F91140">
        <w:t>occur</w:t>
      </w:r>
      <w:r>
        <w:t>.</w:t>
      </w:r>
      <w:r>
        <w:rPr>
          <w:rStyle w:val="FootnoteReference"/>
        </w:rPr>
        <w:footnoteReference w:id="181"/>
      </w:r>
      <w:r>
        <w:t xml:space="preserve"> </w:t>
      </w:r>
    </w:p>
    <w:p w14:paraId="60CCEDEB" w14:textId="40F93686" w:rsidR="000C41B8" w:rsidRDefault="006F65D3" w:rsidP="000C41B8">
      <w:pPr>
        <w:ind w:left="1418"/>
      </w:pPr>
      <w:r>
        <w:t xml:space="preserve">Another concern recognised in the Resettlement Policy Framework is that </w:t>
      </w:r>
      <w:r w:rsidR="000C41B8">
        <w:t>while the legislative regime establishe</w:t>
      </w:r>
      <w:r>
        <w:t>s</w:t>
      </w:r>
      <w:r w:rsidR="000C41B8">
        <w:t xml:space="preserve"> </w:t>
      </w:r>
      <w:r w:rsidR="00F91140">
        <w:t xml:space="preserve">certain </w:t>
      </w:r>
      <w:r w:rsidR="000C41B8">
        <w:t xml:space="preserve">timelines, it does not provide a </w:t>
      </w:r>
      <w:r w:rsidR="00F91140">
        <w:t xml:space="preserve">time </w:t>
      </w:r>
      <w:r w:rsidR="000C41B8">
        <w:t>before which compensation must be provided to the concerned persons, and this may result in delays in compensation</w:t>
      </w:r>
      <w:r w:rsidR="00F91140">
        <w:t xml:space="preserve"> payments</w:t>
      </w:r>
      <w:r w:rsidR="000C41B8">
        <w:t>.</w:t>
      </w:r>
      <w:r w:rsidR="000C41B8">
        <w:rPr>
          <w:rStyle w:val="FootnoteReference"/>
        </w:rPr>
        <w:footnoteReference w:id="182"/>
      </w:r>
    </w:p>
    <w:p w14:paraId="30D03DB1" w14:textId="77777777" w:rsidR="002D47F2" w:rsidRPr="00C53E79" w:rsidRDefault="002D47F2" w:rsidP="00E273DA">
      <w:pPr>
        <w:pStyle w:val="AllensHeading2"/>
        <w:rPr>
          <w:rFonts w:eastAsiaTheme="minorHAnsi"/>
          <w:lang w:val="en-US" w:eastAsia="en-US"/>
        </w:rPr>
      </w:pPr>
      <w:bookmarkStart w:id="103" w:name="_Toc483331395"/>
      <w:bookmarkStart w:id="104" w:name="_Toc8914073"/>
      <w:bookmarkStart w:id="105" w:name="Shelter_cluster"/>
      <w:r w:rsidRPr="00C53E79">
        <w:rPr>
          <w:rFonts w:eastAsiaTheme="minorHAnsi"/>
          <w:lang w:val="en-US" w:eastAsia="en-US"/>
        </w:rPr>
        <w:t>Shelter cluster</w:t>
      </w:r>
      <w:bookmarkEnd w:id="103"/>
      <w:bookmarkEnd w:id="104"/>
    </w:p>
    <w:bookmarkEnd w:id="105"/>
    <w:p w14:paraId="3FDB89AA" w14:textId="77777777" w:rsidR="002D47F2" w:rsidRPr="000C41B8" w:rsidRDefault="002D47F2" w:rsidP="00861359">
      <w:pPr>
        <w:pStyle w:val="AllensHeading3"/>
        <w:rPr>
          <w:b/>
        </w:rPr>
      </w:pPr>
      <w:r w:rsidRPr="000C41B8">
        <w:rPr>
          <w:b/>
        </w:rPr>
        <w:t xml:space="preserve">Is there an active shelter cluster in </w:t>
      </w:r>
      <w:r w:rsidR="00DA29DA" w:rsidRPr="000C41B8">
        <w:rPr>
          <w:b/>
        </w:rPr>
        <w:t>Nepal</w:t>
      </w:r>
      <w:r w:rsidRPr="000C41B8">
        <w:rPr>
          <w:b/>
        </w:rPr>
        <w:t>?</w:t>
      </w:r>
    </w:p>
    <w:p w14:paraId="643D1AD8" w14:textId="03538CB5" w:rsidR="00EE3894" w:rsidRDefault="00EE3894" w:rsidP="000C41B8">
      <w:pPr>
        <w:ind w:left="1418"/>
      </w:pPr>
      <w:r>
        <w:t>There are no active shelter cluster</w:t>
      </w:r>
      <w:r w:rsidR="00F91140">
        <w:t>s</w:t>
      </w:r>
      <w:r>
        <w:t xml:space="preserve"> currently operating in Nepal.</w:t>
      </w:r>
    </w:p>
    <w:p w14:paraId="173BB360" w14:textId="0DE8D739" w:rsidR="000C41B8" w:rsidRPr="00861359" w:rsidRDefault="00EE3894" w:rsidP="000C41B8">
      <w:pPr>
        <w:ind w:left="1418"/>
      </w:pPr>
      <w:r>
        <w:t>S</w:t>
      </w:r>
      <w:r w:rsidR="000C41B8">
        <w:t xml:space="preserve">ince Nepal is considered to be at high risk </w:t>
      </w:r>
      <w:r w:rsidR="00A46D0E">
        <w:t xml:space="preserve">of </w:t>
      </w:r>
      <w:r w:rsidR="00C057BA">
        <w:t xml:space="preserve">suffering a </w:t>
      </w:r>
      <w:r w:rsidR="000C41B8">
        <w:t xml:space="preserve">natural disaster, there is a Shelter Cluster Contingency plan in place for activating and coordinating responses to </w:t>
      </w:r>
      <w:r w:rsidR="00A46D0E">
        <w:t>them</w:t>
      </w:r>
      <w:r w:rsidR="000C41B8">
        <w:t>. Additionally, due to floods and landslides during the 2017 monsoons, a national monsoon contingency plan and cold wave preparedness plan are now in place for shelter coordination in four districts.</w:t>
      </w:r>
      <w:r w:rsidR="000C41B8">
        <w:rPr>
          <w:rStyle w:val="FootnoteReference"/>
        </w:rPr>
        <w:footnoteReference w:id="183"/>
      </w:r>
    </w:p>
    <w:p w14:paraId="685D3AB8" w14:textId="77777777" w:rsidR="002D47F2" w:rsidRPr="0064230A" w:rsidRDefault="002D47F2" w:rsidP="00861359">
      <w:pPr>
        <w:pStyle w:val="AllensHeading3"/>
        <w:rPr>
          <w:b/>
        </w:rPr>
      </w:pPr>
      <w:r w:rsidRPr="0064230A">
        <w:rPr>
          <w:b/>
        </w:rPr>
        <w:t>If not, has the shelter cluster been activated during any previous disasters?</w:t>
      </w:r>
    </w:p>
    <w:p w14:paraId="5BA2A4AC" w14:textId="32CDCA79" w:rsidR="000C41B8" w:rsidRDefault="000C41B8" w:rsidP="000C41B8">
      <w:pPr>
        <w:tabs>
          <w:tab w:val="left" w:pos="709"/>
        </w:tabs>
        <w:ind w:left="1418"/>
      </w:pPr>
      <w:r>
        <w:t xml:space="preserve">Shelter clusters have been activated in Nepal during previous disasters, </w:t>
      </w:r>
      <w:r w:rsidR="00F91140">
        <w:t xml:space="preserve">including </w:t>
      </w:r>
      <w:r>
        <w:t xml:space="preserve">during the 2008 Koshi </w:t>
      </w:r>
      <w:r w:rsidR="00A46D0E">
        <w:t>f</w:t>
      </w:r>
      <w:r>
        <w:t xml:space="preserve">loods and the 2015 Nepal </w:t>
      </w:r>
      <w:r w:rsidR="00A46D0E">
        <w:t>e</w:t>
      </w:r>
      <w:r>
        <w:t>arthquake.</w:t>
      </w:r>
    </w:p>
    <w:p w14:paraId="09942FAE" w14:textId="143D0394" w:rsidR="000C41B8" w:rsidRDefault="000C41B8" w:rsidP="000C41B8">
      <w:pPr>
        <w:tabs>
          <w:tab w:val="left" w:pos="709"/>
        </w:tabs>
        <w:ind w:left="1418"/>
        <w:rPr>
          <w:b/>
          <w:i/>
        </w:rPr>
      </w:pPr>
      <w:r>
        <w:t>In 2008, a breach of the Koshi embankment caused close to 70,000 people to flee to high ground to avoid flooding. In response, the cluster system in Nepal was activated and formalised, with IFRC taking on the role of convenor of emergency shelter as part of the cluster response.</w:t>
      </w:r>
      <w:r>
        <w:rPr>
          <w:rStyle w:val="FootnoteReference"/>
        </w:rPr>
        <w:footnoteReference w:id="184"/>
      </w:r>
      <w:r>
        <w:t xml:space="preserve"> </w:t>
      </w:r>
    </w:p>
    <w:p w14:paraId="14F5EDD8" w14:textId="77777777" w:rsidR="000C41B8" w:rsidRDefault="000C41B8" w:rsidP="000C41B8">
      <w:pPr>
        <w:ind w:left="1418"/>
      </w:pPr>
      <w:r>
        <w:t>The 2015 Nepal earthquakes left over half a million homes destroyed and many additional households damaged. The Nepal Shelter Cluster, led by the Department of Urban Develop</w:t>
      </w:r>
      <w:r w:rsidR="006F65D3">
        <w:t xml:space="preserve">ment and Building Construction </w:t>
      </w:r>
      <w:r>
        <w:t>and IFRC</w:t>
      </w:r>
      <w:r w:rsidR="00BF126F">
        <w:t>,</w:t>
      </w:r>
      <w:r>
        <w:rPr>
          <w:rStyle w:val="FootnoteReference"/>
        </w:rPr>
        <w:footnoteReference w:id="185"/>
      </w:r>
      <w:r>
        <w:t xml:space="preserve"> delivered 83% of affected households with corrugated iron sheets for temporary shelter, or a cash equivalent from the relevant Shelter Cluster partners.</w:t>
      </w:r>
      <w:r>
        <w:rPr>
          <w:rStyle w:val="FootnoteReference"/>
        </w:rPr>
        <w:footnoteReference w:id="186"/>
      </w:r>
      <w:r>
        <w:t xml:space="preserve"> By the end of 2015, Shelter Cluster Nepal handed over the responsibility for coordinating the recovery of affected districts to the Housing Recovery and Reconstruction Platform – Nepal.</w:t>
      </w:r>
      <w:r>
        <w:rPr>
          <w:rStyle w:val="FootnoteReference"/>
        </w:rPr>
        <w:footnoteReference w:id="187"/>
      </w:r>
    </w:p>
    <w:p w14:paraId="06E0ACA7" w14:textId="77777777" w:rsidR="00B259B3" w:rsidRDefault="00B259B3">
      <w:pPr>
        <w:spacing w:before="0" w:after="200" w:line="276" w:lineRule="auto"/>
        <w:rPr>
          <w:rFonts w:cs="Arial"/>
          <w:b/>
        </w:rPr>
      </w:pPr>
      <w:r>
        <w:rPr>
          <w:rFonts w:cs="Arial"/>
          <w:b/>
        </w:rPr>
        <w:br w:type="page"/>
      </w:r>
    </w:p>
    <w:p w14:paraId="744C4294" w14:textId="77777777" w:rsidR="00B259B3" w:rsidRDefault="00B259B3" w:rsidP="00B259B3">
      <w:pPr>
        <w:pStyle w:val="AllensHeading1"/>
        <w:numPr>
          <w:ilvl w:val="0"/>
          <w:numId w:val="12"/>
        </w:numPr>
      </w:pPr>
      <w:bookmarkStart w:id="110" w:name="_Toc508361622"/>
      <w:bookmarkStart w:id="111" w:name="_Ref496878492"/>
      <w:bookmarkStart w:id="112" w:name="_Toc490144185"/>
      <w:bookmarkStart w:id="113" w:name="_Toc486677145"/>
      <w:bookmarkStart w:id="114" w:name="_Toc8914074"/>
      <w:r>
        <w:t>Bibliography</w:t>
      </w:r>
      <w:bookmarkEnd w:id="110"/>
      <w:bookmarkEnd w:id="111"/>
      <w:bookmarkEnd w:id="112"/>
      <w:bookmarkEnd w:id="113"/>
      <w:bookmarkEnd w:id="114"/>
    </w:p>
    <w:p w14:paraId="2CA325A6" w14:textId="77777777" w:rsidR="00B259B3" w:rsidRDefault="00B259B3" w:rsidP="00B259B3">
      <w:pPr>
        <w:pStyle w:val="AllensHeading2"/>
        <w:numPr>
          <w:ilvl w:val="1"/>
          <w:numId w:val="12"/>
        </w:numPr>
      </w:pPr>
      <w:bookmarkStart w:id="115" w:name="_Toc508361623"/>
      <w:bookmarkStart w:id="116" w:name="_Toc486677146"/>
      <w:bookmarkStart w:id="117" w:name="_Toc490144186"/>
      <w:bookmarkStart w:id="118" w:name="_Toc8914075"/>
      <w:r>
        <w:t>Legislation</w:t>
      </w:r>
      <w:bookmarkEnd w:id="115"/>
      <w:bookmarkEnd w:id="116"/>
      <w:bookmarkEnd w:id="117"/>
      <w:r>
        <w:t xml:space="preserve"> and regulations</w:t>
      </w:r>
      <w:bookmarkEnd w:id="118"/>
    </w:p>
    <w:p w14:paraId="47B2CA56" w14:textId="513DF22C" w:rsidR="00E62171" w:rsidRDefault="00E62171" w:rsidP="00FD7306">
      <w:pPr>
        <w:pStyle w:val="NormalIndent"/>
      </w:pPr>
      <w:r>
        <w:rPr>
          <w:i/>
        </w:rPr>
        <w:t xml:space="preserve">Citizenship Act, 2063 </w:t>
      </w:r>
      <w:r>
        <w:t xml:space="preserve">(2006) </w:t>
      </w:r>
    </w:p>
    <w:p w14:paraId="31092D9E" w14:textId="77777777" w:rsidR="00E62171" w:rsidRDefault="00E62171" w:rsidP="00FD7306">
      <w:pPr>
        <w:ind w:left="709"/>
      </w:pPr>
      <w:r>
        <w:rPr>
          <w:i/>
        </w:rPr>
        <w:t xml:space="preserve">Constitution of Nepal </w:t>
      </w:r>
      <w:r>
        <w:t xml:space="preserve">(2015) </w:t>
      </w:r>
    </w:p>
    <w:p w14:paraId="4827E136" w14:textId="77777777" w:rsidR="00E62171" w:rsidRDefault="00E62171" w:rsidP="00FD7306">
      <w:pPr>
        <w:ind w:left="709"/>
      </w:pPr>
      <w:r>
        <w:rPr>
          <w:i/>
        </w:rPr>
        <w:t>Creation of Consolidated Residency Procedure, 2074</w:t>
      </w:r>
      <w:r>
        <w:t xml:space="preserve"> (2018)</w:t>
      </w:r>
    </w:p>
    <w:p w14:paraId="3CF7B427" w14:textId="77777777" w:rsidR="00E62171" w:rsidRDefault="00E62171" w:rsidP="00FD7306">
      <w:pPr>
        <w:ind w:left="709"/>
      </w:pPr>
      <w:r>
        <w:rPr>
          <w:i/>
        </w:rPr>
        <w:t xml:space="preserve">Guthi Corporation Act, 2033 </w:t>
      </w:r>
      <w:r>
        <w:t>(1976)</w:t>
      </w:r>
    </w:p>
    <w:p w14:paraId="05C7065A" w14:textId="77777777" w:rsidR="00E62171" w:rsidRDefault="00E62171" w:rsidP="00FD7306">
      <w:pPr>
        <w:ind w:left="709"/>
        <w:rPr>
          <w:i/>
        </w:rPr>
      </w:pPr>
      <w:r>
        <w:rPr>
          <w:i/>
        </w:rPr>
        <w:t xml:space="preserve">Land (Survey and Measurement) Act, 2019 </w:t>
      </w:r>
      <w:r>
        <w:t>(1963)</w:t>
      </w:r>
      <w:r>
        <w:rPr>
          <w:i/>
        </w:rPr>
        <w:t xml:space="preserve"> </w:t>
      </w:r>
    </w:p>
    <w:p w14:paraId="3F4B576E" w14:textId="77777777" w:rsidR="00E62171" w:rsidRDefault="00E62171" w:rsidP="00FD7306">
      <w:pPr>
        <w:ind w:left="709"/>
      </w:pPr>
      <w:r>
        <w:rPr>
          <w:i/>
        </w:rPr>
        <w:t xml:space="preserve">Land Acquisition Act, 2034 </w:t>
      </w:r>
      <w:r>
        <w:t>(1977)</w:t>
      </w:r>
    </w:p>
    <w:p w14:paraId="4865DB4C" w14:textId="77777777" w:rsidR="00E62171" w:rsidRDefault="00E62171" w:rsidP="00FD7306">
      <w:pPr>
        <w:ind w:left="709"/>
      </w:pPr>
      <w:r>
        <w:rPr>
          <w:i/>
        </w:rPr>
        <w:t xml:space="preserve">Land Revenue Act, 2034 </w:t>
      </w:r>
      <w:r>
        <w:t>(1978)</w:t>
      </w:r>
    </w:p>
    <w:p w14:paraId="069ABF44" w14:textId="77777777" w:rsidR="00E62171" w:rsidRDefault="00E62171" w:rsidP="00FD7306">
      <w:pPr>
        <w:ind w:left="709"/>
      </w:pPr>
      <w:r>
        <w:rPr>
          <w:i/>
        </w:rPr>
        <w:t>Lands Act, 2021</w:t>
      </w:r>
      <w:r>
        <w:t xml:space="preserve"> (1964)</w:t>
      </w:r>
    </w:p>
    <w:p w14:paraId="79A84035" w14:textId="77777777" w:rsidR="00E62171" w:rsidRDefault="00E62171" w:rsidP="00FD7306">
      <w:pPr>
        <w:ind w:left="709"/>
      </w:pPr>
      <w:r>
        <w:rPr>
          <w:i/>
        </w:rPr>
        <w:t xml:space="preserve">Local Government Operation Act, 2074 </w:t>
      </w:r>
      <w:r>
        <w:t>(2017)</w:t>
      </w:r>
    </w:p>
    <w:p w14:paraId="46B42D69" w14:textId="77777777" w:rsidR="00E62171" w:rsidRDefault="00E62171" w:rsidP="00FD7306">
      <w:pPr>
        <w:ind w:left="709"/>
      </w:pPr>
      <w:r>
        <w:rPr>
          <w:i/>
        </w:rPr>
        <w:t>Mitigation and Management of Risk of Disasters Act, 2074</w:t>
      </w:r>
      <w:r>
        <w:t xml:space="preserve"> (2018)</w:t>
      </w:r>
    </w:p>
    <w:p w14:paraId="093EEE3D" w14:textId="77777777" w:rsidR="00E62171" w:rsidRDefault="00E62171" w:rsidP="00FD7306">
      <w:pPr>
        <w:ind w:left="709"/>
      </w:pPr>
      <w:r>
        <w:rPr>
          <w:i/>
        </w:rPr>
        <w:t>Muluki Civil (Code) Act</w:t>
      </w:r>
      <w:r>
        <w:t xml:space="preserve"> </w:t>
      </w:r>
    </w:p>
    <w:p w14:paraId="4E464C83" w14:textId="77777777" w:rsidR="00E62171" w:rsidRDefault="00E62171" w:rsidP="00FD7306">
      <w:pPr>
        <w:ind w:left="709"/>
      </w:pPr>
      <w:r>
        <w:rPr>
          <w:i/>
        </w:rPr>
        <w:t>National Reconstruction and Resettlement Policy, 2072</w:t>
      </w:r>
      <w:r>
        <w:t xml:space="preserve"> (2016)</w:t>
      </w:r>
    </w:p>
    <w:p w14:paraId="79F219D3" w14:textId="77777777" w:rsidR="00E62171" w:rsidRDefault="00E62171" w:rsidP="00FD7306">
      <w:pPr>
        <w:ind w:left="709"/>
      </w:pPr>
      <w:r>
        <w:rPr>
          <w:i/>
        </w:rPr>
        <w:t xml:space="preserve">Ownership of Joint Housing Act, 2054 </w:t>
      </w:r>
      <w:r>
        <w:t>(1997)</w:t>
      </w:r>
    </w:p>
    <w:p w14:paraId="57D5A47E" w14:textId="77777777" w:rsidR="00E62171" w:rsidRDefault="00E62171" w:rsidP="00FD7306">
      <w:pPr>
        <w:ind w:left="709"/>
      </w:pPr>
      <w:r>
        <w:rPr>
          <w:i/>
        </w:rPr>
        <w:t>Procedure for Loan Financing for Reconstruction of Earthquake Affected Residential Houses, 2072</w:t>
      </w:r>
      <w:r>
        <w:t xml:space="preserve"> (2016)</w:t>
      </w:r>
    </w:p>
    <w:p w14:paraId="3A1464E5" w14:textId="77777777" w:rsidR="00E62171" w:rsidRDefault="00E62171" w:rsidP="00FD7306">
      <w:pPr>
        <w:ind w:left="709"/>
      </w:pPr>
      <w:r>
        <w:rPr>
          <w:i/>
        </w:rPr>
        <w:t xml:space="preserve">Procedure for Transfer and Relocation of </w:t>
      </w:r>
      <w:r>
        <w:rPr>
          <w:i/>
          <w:lang w:val="en-US" w:bidi="ne-NP"/>
        </w:rPr>
        <w:t xml:space="preserve">Risky Settlements, 2073 </w:t>
      </w:r>
      <w:r>
        <w:rPr>
          <w:lang w:val="en-US" w:bidi="ne-NP"/>
        </w:rPr>
        <w:t xml:space="preserve">(2017) </w:t>
      </w:r>
    </w:p>
    <w:p w14:paraId="3B6F66FB" w14:textId="77777777" w:rsidR="00E62171" w:rsidRDefault="00E62171" w:rsidP="00FD7306">
      <w:pPr>
        <w:ind w:left="709"/>
      </w:pPr>
      <w:r>
        <w:rPr>
          <w:i/>
        </w:rPr>
        <w:t xml:space="preserve">Reconstruction of Earthquake Affected Structures Act, 2072 </w:t>
      </w:r>
      <w:r>
        <w:t>(2015)</w:t>
      </w:r>
    </w:p>
    <w:p w14:paraId="3BCE7118" w14:textId="77777777" w:rsidR="00E62171" w:rsidRDefault="00E62171" w:rsidP="00FD7306">
      <w:pPr>
        <w:ind w:left="709"/>
      </w:pPr>
      <w:r>
        <w:rPr>
          <w:i/>
          <w:lang w:val="en-US"/>
        </w:rPr>
        <w:t xml:space="preserve">Vulnerable Group Earthquake Affected Beneficiary Identification Procedure, 2074 </w:t>
      </w:r>
      <w:r>
        <w:rPr>
          <w:lang w:val="en-US"/>
        </w:rPr>
        <w:t>(2018)</w:t>
      </w:r>
    </w:p>
    <w:p w14:paraId="25F233FC" w14:textId="77777777" w:rsidR="00B259B3" w:rsidRDefault="00B259B3" w:rsidP="00B259B3">
      <w:pPr>
        <w:pStyle w:val="AllensHeading2"/>
        <w:numPr>
          <w:ilvl w:val="1"/>
          <w:numId w:val="12"/>
        </w:numPr>
      </w:pPr>
      <w:bookmarkStart w:id="119" w:name="_Toc8914076"/>
      <w:r>
        <w:t>International law materials</w:t>
      </w:r>
      <w:bookmarkEnd w:id="119"/>
    </w:p>
    <w:p w14:paraId="57C10D28" w14:textId="16D445B2" w:rsidR="00B259B3" w:rsidRPr="00B259B3" w:rsidRDefault="00E62171" w:rsidP="00B259B3">
      <w:pPr>
        <w:pStyle w:val="NormalIndent"/>
      </w:pPr>
      <w:r w:rsidRPr="00143BC5">
        <w:rPr>
          <w:i/>
        </w:rPr>
        <w:t>Convention Concerning Indigenous and Tribunal Peoples in Independent Countries (No 169)</w:t>
      </w:r>
    </w:p>
    <w:p w14:paraId="2422A3BB" w14:textId="77777777" w:rsidR="00B259B3" w:rsidRDefault="00B259B3" w:rsidP="00B259B3">
      <w:pPr>
        <w:pStyle w:val="AllensHeading2"/>
        <w:numPr>
          <w:ilvl w:val="1"/>
          <w:numId w:val="12"/>
        </w:numPr>
      </w:pPr>
      <w:bookmarkStart w:id="120" w:name="_Toc8914077"/>
      <w:r>
        <w:t>Secondary Sources</w:t>
      </w:r>
      <w:bookmarkEnd w:id="120"/>
    </w:p>
    <w:p w14:paraId="2A2DDA71" w14:textId="33AC3D12" w:rsidR="00533333" w:rsidRDefault="00533333" w:rsidP="00FD7306">
      <w:pPr>
        <w:ind w:left="709"/>
      </w:pPr>
      <w:bookmarkStart w:id="121" w:name="_Hlk8905907"/>
      <w:r>
        <w:t xml:space="preserve">Agathe Nougaret and Ram Danuwar, </w:t>
      </w:r>
      <w:r>
        <w:rPr>
          <w:i/>
        </w:rPr>
        <w:t>Housing, Land and Property Issues in Nepal: And their Consequences for the Post-Earthquake Reconstruction process</w:t>
      </w:r>
      <w:r>
        <w:t xml:space="preserve"> (2016) &lt;https://insights.careinternational.org.uk/publications/housing-land-and-property-issues-in-nepal-and-their-consequences-for-the-post-earthquake-reconstruction-process&gt;</w:t>
      </w:r>
      <w:bookmarkEnd w:id="121"/>
    </w:p>
    <w:p w14:paraId="3C21E8FC" w14:textId="7735B48A" w:rsidR="00533333" w:rsidRDefault="00533333" w:rsidP="00FD7306">
      <w:pPr>
        <w:ind w:left="709"/>
      </w:pPr>
      <w:r>
        <w:t xml:space="preserve">Babu Ram Acharya, </w:t>
      </w:r>
      <w:r>
        <w:rPr>
          <w:i/>
        </w:rPr>
        <w:t xml:space="preserve">Land Tenure and Land Registration in Nepal </w:t>
      </w:r>
      <w:r>
        <w:t>(June 2008) &lt;http://www.fig.net/resources/proceedings/fig_proceedings/fig2008/papers/ts07b/ts07b_02_acharya_2747.pdf&gt;</w:t>
      </w:r>
    </w:p>
    <w:p w14:paraId="7BF3CD68" w14:textId="48657491" w:rsidR="00533333" w:rsidRDefault="00533333" w:rsidP="00FD7306">
      <w:pPr>
        <w:ind w:left="709"/>
      </w:pPr>
      <w:bookmarkStart w:id="122" w:name="_Hlk8909635"/>
      <w:r>
        <w:t xml:space="preserve">Department of Foreign Affairs and Trade, </w:t>
      </w:r>
      <w:r>
        <w:rPr>
          <w:i/>
        </w:rPr>
        <w:t xml:space="preserve">DFAT Country Information Report: Nepal </w:t>
      </w:r>
      <w:r>
        <w:t>(21 April 2016) &lt;http://dfat.gov.au/about-us/publications/Documents/country-information-report-nepal.pdf&gt;</w:t>
      </w:r>
    </w:p>
    <w:bookmarkEnd w:id="122"/>
    <w:p w14:paraId="531C0205" w14:textId="60055A48" w:rsidR="00533333" w:rsidRDefault="00533333" w:rsidP="00FD7306">
      <w:pPr>
        <w:ind w:left="709"/>
        <w:rPr>
          <w:rFonts w:cs="Arial"/>
          <w:szCs w:val="16"/>
        </w:rPr>
      </w:pPr>
      <w:r>
        <w:rPr>
          <w:rFonts w:cs="Arial"/>
          <w:szCs w:val="16"/>
        </w:rPr>
        <w:t xml:space="preserve">Forum for Women, Law and Development, </w:t>
      </w:r>
      <w:r>
        <w:rPr>
          <w:rFonts w:cs="Arial"/>
          <w:i/>
          <w:szCs w:val="16"/>
        </w:rPr>
        <w:t xml:space="preserve">Vision/Mission </w:t>
      </w:r>
      <w:r>
        <w:rPr>
          <w:rFonts w:cs="Arial"/>
          <w:szCs w:val="16"/>
        </w:rPr>
        <w:t>(2018) &lt;http://fwld.org/vision-mission&gt;</w:t>
      </w:r>
    </w:p>
    <w:p w14:paraId="748661BD" w14:textId="6F8F1AD5" w:rsidR="00533333" w:rsidRDefault="00533333" w:rsidP="00FD7306">
      <w:pPr>
        <w:ind w:left="709"/>
      </w:pPr>
      <w:bookmarkStart w:id="123" w:name="_Hlk8906562"/>
      <w:r>
        <w:t xml:space="preserve">Forum for Women, Law and Development, </w:t>
      </w:r>
      <w:r>
        <w:rPr>
          <w:i/>
        </w:rPr>
        <w:t xml:space="preserve">Acquisition of Citizen Certificate in Nepal: Understanding Trends, Barriers and Impacts </w:t>
      </w:r>
      <w:r>
        <w:t>(2014) &lt;http://fwld.org/wp-content/uploads/2016/06/Acquisition-of-Citizenship-Certificate-in-Nepal-Understanding-Trends-Barriers-and-Impacts.pdf&gt;</w:t>
      </w:r>
      <w:bookmarkEnd w:id="123"/>
    </w:p>
    <w:p w14:paraId="0DFD68F4" w14:textId="0D8983B9" w:rsidR="00533333" w:rsidRDefault="00533333" w:rsidP="00533333">
      <w:pPr>
        <w:ind w:left="709"/>
      </w:pPr>
      <w:r>
        <w:t xml:space="preserve">Ganga Devi Dabadi, </w:t>
      </w:r>
      <w:r w:rsidRPr="00FD7306">
        <w:rPr>
          <w:i/>
        </w:rPr>
        <w:t>Assessing Female Ownership of Fixed Assets in Nepal: A New Feature of the Population Census 2001</w:t>
      </w:r>
      <w:r>
        <w:t xml:space="preserve"> (2009) &lt;https://unstats.un.org/unsd/gender/Ghana_Jan2009/Doc26.pdf&gt;</w:t>
      </w:r>
    </w:p>
    <w:p w14:paraId="62608D63" w14:textId="5C32378A" w:rsidR="00533333" w:rsidRPr="00FD7306" w:rsidRDefault="00533333" w:rsidP="00FD7306">
      <w:pPr>
        <w:ind w:left="709"/>
      </w:pPr>
      <w:r w:rsidRPr="00FD7306">
        <w:t>Government of Nepal, Ministry of Agriculture, Land Management and Cooperatives (2018) &lt;http://www.molrm.gov.np/index.php&gt;</w:t>
      </w:r>
    </w:p>
    <w:p w14:paraId="2D1D0760" w14:textId="56783265" w:rsidR="00533333" w:rsidRDefault="00533333" w:rsidP="00FD7306">
      <w:pPr>
        <w:ind w:left="709"/>
      </w:pPr>
      <w:bookmarkStart w:id="124" w:name="_Hlk8892844"/>
      <w:r>
        <w:t xml:space="preserve">Gandhi Subedi and Raja Ram Chhatkuli, 'Land Policy Issues in Nepalese Context' (2010) 9 </w:t>
      </w:r>
      <w:r>
        <w:rPr>
          <w:i/>
        </w:rPr>
        <w:t>Nepalese Journal on Geoinformatics</w:t>
      </w:r>
      <w:r>
        <w:t xml:space="preserve"> 2067</w:t>
      </w:r>
    </w:p>
    <w:p w14:paraId="4DB0C3BE" w14:textId="0F088F90" w:rsidR="00533333" w:rsidRDefault="00533333" w:rsidP="00FD7306">
      <w:pPr>
        <w:ind w:left="709"/>
      </w:pPr>
      <w:r>
        <w:rPr>
          <w:rFonts w:cs="Arial"/>
          <w:szCs w:val="16"/>
        </w:rPr>
        <w:t xml:space="preserve">Global Shelter Cluster, </w:t>
      </w:r>
      <w:r>
        <w:rPr>
          <w:rFonts w:cs="Arial"/>
          <w:i/>
          <w:szCs w:val="16"/>
        </w:rPr>
        <w:t xml:space="preserve">Nepal January – December 2017 </w:t>
      </w:r>
      <w:r>
        <w:rPr>
          <w:rFonts w:cs="Arial"/>
          <w:szCs w:val="16"/>
        </w:rPr>
        <w:t>(2018) &lt;https://www.sheltercluster.org/nepal/documents/nepal-factsheet-jan-dec-2017&gt;</w:t>
      </w:r>
    </w:p>
    <w:p w14:paraId="11523002" w14:textId="7AAB0C6C" w:rsidR="00533333" w:rsidRDefault="00533333" w:rsidP="00FD7306">
      <w:pPr>
        <w:ind w:left="709"/>
      </w:pPr>
      <w:r>
        <w:t xml:space="preserve">Global Shelter Cluster, </w:t>
      </w:r>
      <w:r>
        <w:rPr>
          <w:i/>
        </w:rPr>
        <w:t>Nepal: Strategic and Technical Guidance</w:t>
      </w:r>
      <w:r>
        <w:t xml:space="preserve"> (2015) &lt;https://www.sheltercluster.org/sites/default/files/docs/strategic_and_technical_guidance_20151013_0.pdf&gt;</w:t>
      </w:r>
    </w:p>
    <w:p w14:paraId="19088A5B" w14:textId="32C640A7" w:rsidR="00533333" w:rsidRDefault="00533333" w:rsidP="00FD7306">
      <w:pPr>
        <w:ind w:left="709"/>
        <w:rPr>
          <w:rFonts w:cs="Arial"/>
          <w:szCs w:val="16"/>
        </w:rPr>
      </w:pPr>
      <w:r>
        <w:rPr>
          <w:rFonts w:cs="Arial"/>
          <w:szCs w:val="16"/>
        </w:rPr>
        <w:t xml:space="preserve">Global Shelter Cluster, </w:t>
      </w:r>
      <w:r>
        <w:rPr>
          <w:rFonts w:cs="Arial"/>
          <w:i/>
          <w:szCs w:val="16"/>
        </w:rPr>
        <w:t xml:space="preserve">Nepal: November 2015 </w:t>
      </w:r>
      <w:r>
        <w:rPr>
          <w:rFonts w:cs="Arial"/>
          <w:szCs w:val="16"/>
        </w:rPr>
        <w:t>(2015) &lt;https://www.sheltercluster.org/sites/default/files/docs/factsheet_0.pdf&gt;</w:t>
      </w:r>
    </w:p>
    <w:p w14:paraId="77B07F6D" w14:textId="71A06EC4" w:rsidR="00533333" w:rsidRDefault="00533333" w:rsidP="00FD7306">
      <w:pPr>
        <w:ind w:left="709"/>
      </w:pPr>
      <w:r>
        <w:rPr>
          <w:rFonts w:cs="Arial"/>
          <w:szCs w:val="16"/>
        </w:rPr>
        <w:t xml:space="preserve">Global Shelter Cluster, </w:t>
      </w:r>
      <w:r>
        <w:rPr>
          <w:rFonts w:cs="Arial"/>
          <w:i/>
          <w:szCs w:val="16"/>
        </w:rPr>
        <w:t xml:space="preserve">Nepal Earthquake 2015 </w:t>
      </w:r>
      <w:r>
        <w:rPr>
          <w:rFonts w:cs="Arial"/>
          <w:szCs w:val="16"/>
        </w:rPr>
        <w:t>(2015) &lt;https://www.sheltercluster.org/response/nepal-earthquake-2015&gt;</w:t>
      </w:r>
    </w:p>
    <w:p w14:paraId="4915658B" w14:textId="3E76E0F2" w:rsidR="00533333" w:rsidRDefault="00533333" w:rsidP="00FD7306">
      <w:pPr>
        <w:ind w:left="709"/>
      </w:pPr>
      <w:r>
        <w:t xml:space="preserve">Government of Nepal: Ministry of Urban Development, </w:t>
      </w:r>
      <w:r>
        <w:rPr>
          <w:i/>
        </w:rPr>
        <w:t>Nepal National Report – Inclusive Cities: Resilient Communities</w:t>
      </w:r>
      <w:r>
        <w:t xml:space="preserve"> (2016) &lt;http://habitat3.org/wp-content/uploads/Nepal-HII-National-Report_email.pdf&gt;</w:t>
      </w:r>
      <w:bookmarkEnd w:id="124"/>
    </w:p>
    <w:p w14:paraId="54E56388" w14:textId="6C6D76E3" w:rsidR="00533333" w:rsidRDefault="00533333" w:rsidP="00FD7306">
      <w:pPr>
        <w:ind w:left="709"/>
      </w:pPr>
      <w:r>
        <w:t xml:space="preserve">International Federation of the Red Cross, </w:t>
      </w:r>
      <w:r>
        <w:rPr>
          <w:i/>
        </w:rPr>
        <w:t>Regulatory Barriers to Providing Emergency and Transitional Shelter after Disasters, Country Case Study: Nepal</w:t>
      </w:r>
      <w:r>
        <w:t xml:space="preserve"> (2014)</w:t>
      </w:r>
    </w:p>
    <w:p w14:paraId="7F2830AB" w14:textId="588E76B9" w:rsidR="00533333" w:rsidRDefault="00533333" w:rsidP="00FD7306">
      <w:pPr>
        <w:ind w:left="709"/>
      </w:pPr>
      <w:r>
        <w:t xml:space="preserve">International Organization for Migration, </w:t>
      </w:r>
      <w:r>
        <w:rPr>
          <w:i/>
        </w:rPr>
        <w:t>Press Release: Securing Women's Land and Property Rights in Nepal</w:t>
      </w:r>
      <w:r>
        <w:t xml:space="preserve"> (28 June 2016) &lt;https://www.iom.int/news/securing-womens-land-and-property-rights-nepal&gt;</w:t>
      </w:r>
    </w:p>
    <w:p w14:paraId="43E00F46" w14:textId="19BF3CDC" w:rsidR="00533333" w:rsidRDefault="00533333" w:rsidP="00FD7306">
      <w:pPr>
        <w:ind w:left="709"/>
      </w:pPr>
      <w:r>
        <w:rPr>
          <w:rFonts w:cs="Arial"/>
          <w:szCs w:val="16"/>
        </w:rPr>
        <w:t xml:space="preserve">Kabin Maharjan, 'Land contestation in Nepal: Indigenous Land Tenure and Nation Land Policy' (2016) 4 </w:t>
      </w:r>
      <w:r>
        <w:rPr>
          <w:rFonts w:cs="Arial"/>
          <w:i/>
          <w:szCs w:val="16"/>
        </w:rPr>
        <w:t>Nepal Journal of Social Science and Public Policy</w:t>
      </w:r>
      <w:r>
        <w:rPr>
          <w:rFonts w:cs="Arial"/>
          <w:szCs w:val="16"/>
        </w:rPr>
        <w:t xml:space="preserve"> 120</w:t>
      </w:r>
    </w:p>
    <w:p w14:paraId="05B6D3B7" w14:textId="4F19542E" w:rsidR="00533333" w:rsidRDefault="00533333" w:rsidP="00FD7306">
      <w:pPr>
        <w:ind w:left="709"/>
      </w:pPr>
      <w:r>
        <w:t xml:space="preserve">Land Portal, </w:t>
      </w:r>
      <w:r>
        <w:rPr>
          <w:i/>
        </w:rPr>
        <w:t xml:space="preserve">National Land Rights Forum – Nepal </w:t>
      </w:r>
      <w:r>
        <w:t>&lt;https://landportal.org/organization/national-land-rights-forum-nepal&gt;</w:t>
      </w:r>
    </w:p>
    <w:p w14:paraId="51E4BA71" w14:textId="1096E9F6" w:rsidR="00533333" w:rsidRDefault="00533333" w:rsidP="00FD7306">
      <w:pPr>
        <w:ind w:left="709"/>
        <w:rPr>
          <w:rFonts w:cs="Arial"/>
          <w:szCs w:val="16"/>
        </w:rPr>
      </w:pPr>
      <w:r>
        <w:rPr>
          <w:rFonts w:cs="Arial"/>
          <w:szCs w:val="16"/>
        </w:rPr>
        <w:t>Landlinks,</w:t>
      </w:r>
      <w:r>
        <w:rPr>
          <w:rFonts w:cs="Arial"/>
          <w:i/>
          <w:szCs w:val="16"/>
        </w:rPr>
        <w:t xml:space="preserve"> Nepal</w:t>
      </w:r>
      <w:r>
        <w:rPr>
          <w:rFonts w:cs="Arial"/>
          <w:szCs w:val="16"/>
        </w:rPr>
        <w:t xml:space="preserve"> (2017) &lt;https://land-links.org/country-profile/nepal-2&gt;</w:t>
      </w:r>
    </w:p>
    <w:p w14:paraId="4ED16C46" w14:textId="65B2D3DB" w:rsidR="00533333" w:rsidRDefault="00533333" w:rsidP="00FD7306">
      <w:pPr>
        <w:ind w:left="709"/>
      </w:pPr>
      <w:r>
        <w:rPr>
          <w:rFonts w:cs="Arial"/>
          <w:szCs w:val="16"/>
        </w:rPr>
        <w:t xml:space="preserve">Lawyers' Association for Human Rights of Nepalese Indigenous Peoples et al, </w:t>
      </w:r>
      <w:r>
        <w:rPr>
          <w:rFonts w:cs="Arial"/>
          <w:i/>
          <w:szCs w:val="16"/>
        </w:rPr>
        <w:t>Alternative Report of the Indigenous People of Nepal to the Sate Report Submitted by the Government of Nepal to the Committee on the Elimination of Racial Discrimination</w:t>
      </w:r>
      <w:r>
        <w:rPr>
          <w:rFonts w:cs="Arial"/>
          <w:szCs w:val="16"/>
        </w:rPr>
        <w:t xml:space="preserve"> (March 2018) &lt;https://tbinternet.ohchr.org/Treaties/CERD/Shared%20Documents/NPL/INT_CERD_NGO_NPL_30811_E.pdf&gt;</w:t>
      </w:r>
    </w:p>
    <w:p w14:paraId="5333907F" w14:textId="2AF720D2" w:rsidR="00533333" w:rsidRDefault="00533333" w:rsidP="00FD7306">
      <w:pPr>
        <w:ind w:left="709"/>
      </w:pPr>
      <w:r>
        <w:t xml:space="preserve">Liz Alden Wily, Devendra Chapagin and Shiva Sharma, </w:t>
      </w:r>
      <w:r>
        <w:rPr>
          <w:i/>
        </w:rPr>
        <w:t>Land Reform in Nepal:</w:t>
      </w:r>
      <w:r>
        <w:t xml:space="preserve"> </w:t>
      </w:r>
      <w:r>
        <w:rPr>
          <w:i/>
        </w:rPr>
        <w:t xml:space="preserve">Where Is It Coming From and Where Is It Going? </w:t>
      </w:r>
      <w:r>
        <w:t>(April 2009) &lt;https://www.researchgate.net/publication/270956200_SUMMARY_Land_Reform_in_Nepal&gt;</w:t>
      </w:r>
    </w:p>
    <w:p w14:paraId="7C3B3485" w14:textId="726F17F6" w:rsidR="00533333" w:rsidRDefault="00533333" w:rsidP="00FD7306">
      <w:pPr>
        <w:ind w:left="709"/>
      </w:pPr>
      <w:r>
        <w:t xml:space="preserve">Lumanti, </w:t>
      </w:r>
      <w:r>
        <w:rPr>
          <w:i/>
        </w:rPr>
        <w:t>Lumanti: Support Group for Shelter</w:t>
      </w:r>
      <w:r>
        <w:t xml:space="preserve"> (2016) &lt;http://lumanti.org.np&gt;</w:t>
      </w:r>
    </w:p>
    <w:p w14:paraId="065AD119" w14:textId="58B35274" w:rsidR="00533333" w:rsidRDefault="00533333" w:rsidP="00FD7306">
      <w:pPr>
        <w:ind w:left="709"/>
      </w:pPr>
      <w:r>
        <w:t xml:space="preserve">Madhav Josji and T David Mason, 'Land Tenure, Democracy and Insurgency in Nepal: Peasant Support for Insurgency Versus Democracy' (2007) 47 </w:t>
      </w:r>
      <w:r>
        <w:rPr>
          <w:i/>
        </w:rPr>
        <w:t>Asian Survey</w:t>
      </w:r>
      <w:r>
        <w:t xml:space="preserve"> 393</w:t>
      </w:r>
    </w:p>
    <w:p w14:paraId="65146C72" w14:textId="6C717C1D" w:rsidR="00533333" w:rsidRDefault="00533333" w:rsidP="00FD7306">
      <w:pPr>
        <w:ind w:left="709"/>
      </w:pPr>
      <w:r>
        <w:t>Madhav Joshi and T David Mason, 'Land Tenure, Democracy and Patterns of Violence During the Maoist Insurgence' (2010)</w:t>
      </w:r>
      <w:r>
        <w:rPr>
          <w:i/>
        </w:rPr>
        <w:t xml:space="preserve"> </w:t>
      </w:r>
      <w:r>
        <w:t xml:space="preserve">91 </w:t>
      </w:r>
      <w:r>
        <w:rPr>
          <w:i/>
        </w:rPr>
        <w:t xml:space="preserve">Social Science Quarterly </w:t>
      </w:r>
      <w:r>
        <w:t>984</w:t>
      </w:r>
    </w:p>
    <w:p w14:paraId="5B912C60" w14:textId="5FAF8AEC" w:rsidR="00533333" w:rsidRDefault="00533333" w:rsidP="00FD7306">
      <w:pPr>
        <w:ind w:left="709"/>
      </w:pPr>
      <w:r>
        <w:t xml:space="preserve">National Land Rights Forum, Nepal, </w:t>
      </w:r>
      <w:r>
        <w:rPr>
          <w:i/>
        </w:rPr>
        <w:t>About Us</w:t>
      </w:r>
      <w:r>
        <w:t xml:space="preserve"> (2018) &lt;http://www.nlrfnepal.org/nlrf&gt;</w:t>
      </w:r>
    </w:p>
    <w:p w14:paraId="6B604C58" w14:textId="0E2A4FBF" w:rsidR="00533333" w:rsidRDefault="00533333" w:rsidP="00FD7306">
      <w:pPr>
        <w:ind w:left="709"/>
      </w:pPr>
      <w:r>
        <w:rPr>
          <w:rFonts w:cs="Arial"/>
          <w:szCs w:val="16"/>
        </w:rPr>
        <w:t xml:space="preserve">Nicholas Tagliarino, 'The Status of National Legal Frameworks for Valuing Compensation for Expropriated Land: An Analysis of Whether National Laws in 50 Countries/ Regions across Asia, Africa, and Latin America Comply with International Standards on Compensation Valuation' (2017) </w:t>
      </w:r>
      <w:r w:rsidRPr="00FD7306">
        <w:rPr>
          <w:rFonts w:cs="Arial"/>
          <w:szCs w:val="16"/>
        </w:rPr>
        <w:t>6</w:t>
      </w:r>
      <w:r>
        <w:rPr>
          <w:rFonts w:cs="Arial"/>
          <w:i/>
          <w:szCs w:val="16"/>
        </w:rPr>
        <w:t xml:space="preserve"> Land </w:t>
      </w:r>
      <w:r>
        <w:rPr>
          <w:rFonts w:cs="Arial"/>
          <w:szCs w:val="16"/>
        </w:rPr>
        <w:t>1 &lt;http://www.mdpi.com/2073-445X/6/2/37&gt;</w:t>
      </w:r>
    </w:p>
    <w:p w14:paraId="685DB444" w14:textId="606A0E32" w:rsidR="00533333" w:rsidRDefault="00533333" w:rsidP="00FD7306">
      <w:pPr>
        <w:ind w:left="709"/>
        <w:rPr>
          <w:rFonts w:cs="Arial"/>
          <w:szCs w:val="16"/>
        </w:rPr>
      </w:pPr>
      <w:r>
        <w:t xml:space="preserve">Reilly Brooks, 'Relocation, Resistance and Resilience: Squatter Community Responses to Government Intervention for Urban Development in Kathmandu' (2016) </w:t>
      </w:r>
      <w:r>
        <w:rPr>
          <w:i/>
        </w:rPr>
        <w:t>Independent Study Project Collection</w:t>
      </w:r>
    </w:p>
    <w:p w14:paraId="6DD98EE9" w14:textId="6A7A0357" w:rsidR="00533333" w:rsidRDefault="00533333" w:rsidP="00FD7306">
      <w:pPr>
        <w:ind w:left="709"/>
        <w:rPr>
          <w:rFonts w:cs="Arial"/>
          <w:szCs w:val="16"/>
        </w:rPr>
      </w:pPr>
      <w:bookmarkStart w:id="125" w:name="_Hlk8905518"/>
      <w:r>
        <w:rPr>
          <w:rFonts w:cs="Arial"/>
          <w:szCs w:val="16"/>
        </w:rPr>
        <w:t xml:space="preserve">Ruth Jackson, Daniel Fitzpatrick and Prabin Man Singh, </w:t>
      </w:r>
      <w:r>
        <w:rPr>
          <w:rFonts w:cs="Arial"/>
          <w:i/>
          <w:szCs w:val="16"/>
        </w:rPr>
        <w:t>Building Back Right: Ensuring Equality in Land Rights and Reconstruction in Nepal</w:t>
      </w:r>
      <w:r>
        <w:rPr>
          <w:rFonts w:cs="Arial"/>
          <w:szCs w:val="16"/>
        </w:rPr>
        <w:t xml:space="preserve"> (2016) &lt;</w:t>
      </w:r>
      <w:r>
        <w:t>https://www.oxfam.org/sites/www.oxfam.org/files/file_attachments/bp-building-back-right-nepal-210416-en.pdf&gt;</w:t>
      </w:r>
    </w:p>
    <w:p w14:paraId="4E4C644C" w14:textId="5B79882D" w:rsidR="00533333" w:rsidRDefault="00533333" w:rsidP="00FD7306">
      <w:pPr>
        <w:ind w:left="709"/>
      </w:pPr>
      <w:r>
        <w:rPr>
          <w:rFonts w:cs="Arial"/>
          <w:szCs w:val="16"/>
        </w:rPr>
        <w:t xml:space="preserve">Shivit Bakrania, </w:t>
      </w:r>
      <w:r>
        <w:rPr>
          <w:rFonts w:cs="Arial"/>
          <w:i/>
          <w:szCs w:val="16"/>
        </w:rPr>
        <w:t>Urban Poverty in Nepal: GSDRC Helpdesk Research Report 1322</w:t>
      </w:r>
      <w:r>
        <w:rPr>
          <w:rFonts w:cs="Arial"/>
          <w:szCs w:val="16"/>
        </w:rPr>
        <w:t xml:space="preserve"> (2015) &lt;https://gsdrc.org/wp-content/uploads/2016/01/HDQ1322.pdf&gt;</w:t>
      </w:r>
    </w:p>
    <w:bookmarkEnd w:id="125"/>
    <w:p w14:paraId="63B0A7ED" w14:textId="3E97AAA0" w:rsidR="00533333" w:rsidRDefault="00533333" w:rsidP="00FD7306">
      <w:pPr>
        <w:ind w:left="709"/>
      </w:pPr>
      <w:r>
        <w:t xml:space="preserve">United Nations Statistics Division, </w:t>
      </w:r>
      <w:r>
        <w:rPr>
          <w:i/>
        </w:rPr>
        <w:t xml:space="preserve">UNCountryStats </w:t>
      </w:r>
      <w:r>
        <w:t>(2017) &lt;http://data.un.org/en/iso/np.html&gt;</w:t>
      </w:r>
    </w:p>
    <w:p w14:paraId="5FEFFB7F" w14:textId="42A56B52" w:rsidR="00B259B3" w:rsidRPr="00B259B3" w:rsidRDefault="00B259B3" w:rsidP="00B259B3">
      <w:pPr>
        <w:pStyle w:val="NormalIndent"/>
      </w:pPr>
    </w:p>
    <w:p w14:paraId="368EE97C" w14:textId="239FFDC9" w:rsidR="00533333" w:rsidRDefault="00533333">
      <w:pPr>
        <w:spacing w:before="0" w:after="200" w:line="276" w:lineRule="auto"/>
        <w:rPr>
          <w:b/>
          <w:sz w:val="22"/>
        </w:rPr>
      </w:pPr>
      <w:bookmarkStart w:id="126" w:name="_Toc508361630"/>
      <w:bookmarkStart w:id="127" w:name="_Ref496878499"/>
      <w:r>
        <w:br w:type="page"/>
      </w:r>
    </w:p>
    <w:p w14:paraId="14902AAE" w14:textId="4D865C47" w:rsidR="00B259B3" w:rsidRDefault="00B259B3" w:rsidP="00B259B3">
      <w:pPr>
        <w:pStyle w:val="AllensHeading1"/>
        <w:numPr>
          <w:ilvl w:val="0"/>
          <w:numId w:val="12"/>
        </w:numPr>
      </w:pPr>
      <w:bookmarkStart w:id="128" w:name="_Toc8914078"/>
      <w:r>
        <w:t>Glossary of abbreviated and defined terms</w:t>
      </w:r>
      <w:bookmarkEnd w:id="126"/>
      <w:bookmarkEnd w:id="127"/>
      <w:bookmarkEnd w:id="128"/>
    </w:p>
    <w:p w14:paraId="5BE8F537" w14:textId="30E84192" w:rsidR="00E62171" w:rsidRDefault="00E62171" w:rsidP="00FD7306">
      <w:pPr>
        <w:ind w:left="709"/>
      </w:pPr>
      <w:r>
        <w:t>(</w:t>
      </w:r>
      <w:r>
        <w:rPr>
          <w:b/>
          <w:i/>
        </w:rPr>
        <w:t>FWLD</w:t>
      </w:r>
      <w:r>
        <w:t xml:space="preserve">) Forum for Women, Law and Development </w:t>
      </w:r>
    </w:p>
    <w:p w14:paraId="13142629" w14:textId="77777777" w:rsidR="00E62171" w:rsidRDefault="00E62171" w:rsidP="00FD7306">
      <w:pPr>
        <w:ind w:left="709"/>
      </w:pPr>
      <w:r>
        <w:t>(</w:t>
      </w:r>
      <w:r>
        <w:rPr>
          <w:b/>
          <w:i/>
        </w:rPr>
        <w:t>IPs</w:t>
      </w:r>
      <w:r>
        <w:t xml:space="preserve">) Indigenous peoples </w:t>
      </w:r>
    </w:p>
    <w:p w14:paraId="0708AAF2" w14:textId="77777777" w:rsidR="00E62171" w:rsidRDefault="00E62171" w:rsidP="00FD7306">
      <w:pPr>
        <w:ind w:left="709"/>
      </w:pPr>
      <w:r>
        <w:t>(</w:t>
      </w:r>
      <w:r>
        <w:rPr>
          <w:b/>
          <w:i/>
        </w:rPr>
        <w:t>NLRF</w:t>
      </w:r>
      <w:r>
        <w:t xml:space="preserve">) National Land Rights Forum </w:t>
      </w:r>
    </w:p>
    <w:p w14:paraId="7292B44B" w14:textId="77777777" w:rsidR="00E62171" w:rsidRDefault="00E62171" w:rsidP="00FD7306">
      <w:pPr>
        <w:ind w:left="709"/>
      </w:pPr>
      <w:r>
        <w:t>(</w:t>
      </w:r>
      <w:r>
        <w:rPr>
          <w:b/>
          <w:i/>
        </w:rPr>
        <w:t>UNCERD</w:t>
      </w:r>
      <w:r>
        <w:t xml:space="preserve">) United Nations Committee on the Elimination of Racial Discrimination </w:t>
      </w:r>
    </w:p>
    <w:p w14:paraId="79C20C21" w14:textId="09566857" w:rsidR="00B259B3" w:rsidRPr="00B259B3" w:rsidRDefault="00B259B3" w:rsidP="00B259B3">
      <w:pPr>
        <w:pStyle w:val="NormalIndent"/>
        <w:rPr>
          <w:rFonts w:eastAsiaTheme="minorHAnsi"/>
        </w:rPr>
      </w:pPr>
    </w:p>
    <w:sectPr w:rsidR="00B259B3" w:rsidRPr="00B259B3" w:rsidSect="00B72B93">
      <w:headerReference w:type="default" r:id="rId21"/>
      <w:footerReference w:type="default" r:id="rId22"/>
      <w:headerReference w:type="first" r:id="rId23"/>
      <w:footerReference w:type="first" r:id="rId24"/>
      <w:pgSz w:w="11907" w:h="16839"/>
      <w:pgMar w:top="1701" w:right="1134"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AA911" w14:textId="77777777" w:rsidR="00606116" w:rsidRDefault="00606116" w:rsidP="00620C38">
      <w:pPr>
        <w:spacing w:before="0" w:line="240" w:lineRule="auto"/>
      </w:pPr>
      <w:r>
        <w:separator/>
      </w:r>
    </w:p>
  </w:endnote>
  <w:endnote w:type="continuationSeparator" w:id="0">
    <w:p w14:paraId="1B69156F" w14:textId="77777777" w:rsidR="00606116" w:rsidRDefault="00606116" w:rsidP="00620C3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ngsanaUPC">
    <w:altName w:val="Leelawadee UI"/>
    <w:charset w:val="DE"/>
    <w:family w:val="roman"/>
    <w:pitch w:val="variable"/>
    <w:sig w:usb0="00000000" w:usb1="00000000" w:usb2="00000000" w:usb3="00000000" w:csb0="00010001" w:csb1="00000000"/>
  </w:font>
  <w:font w:name="Kokila">
    <w:charset w:val="00"/>
    <w:family w:val="swiss"/>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47FE6" w14:textId="77777777" w:rsidR="00606116" w:rsidRDefault="00606116">
    <w:pPr>
      <w:pStyle w:val="Footer"/>
    </w:pPr>
    <w:r>
      <w:rPr>
        <w:sz w:val="12"/>
      </w:rPr>
      <w:t>Allens is an independent partnership operating in alliance with Linklaters LLP.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AA7D7" w14:textId="77777777" w:rsidR="00606116" w:rsidRDefault="00606116" w:rsidP="00E273DA">
    <w:pPr>
      <w:pStyle w:val="Footer"/>
    </w:pPr>
    <w:bookmarkStart w:id="13" w:name="AgreementDisclaimer"/>
    <w:r>
      <w:rPr>
        <w:sz w:val="12"/>
      </w:rPr>
      <w:t>Allens is an independent partnership operating in alliance with Linklaters LLP.</w:t>
    </w:r>
  </w:p>
  <w:bookmarkEnd w:id="13"/>
  <w:p w14:paraId="2195C976" w14:textId="77777777" w:rsidR="00606116" w:rsidRDefault="006061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top w:val="single" w:sz="4" w:space="0" w:color="auto"/>
      </w:tblBorders>
      <w:tblLayout w:type="fixed"/>
      <w:tblCellMar>
        <w:left w:w="0" w:type="dxa"/>
        <w:right w:w="0" w:type="dxa"/>
      </w:tblCellMar>
      <w:tblLook w:val="0000" w:firstRow="0" w:lastRow="0" w:firstColumn="0" w:lastColumn="0" w:noHBand="0" w:noVBand="0"/>
    </w:tblPr>
    <w:tblGrid>
      <w:gridCol w:w="8647"/>
      <w:gridCol w:w="709"/>
    </w:tblGrid>
    <w:tr w:rsidR="00606116" w:rsidRPr="00620C38" w14:paraId="16B3AA3D" w14:textId="77777777" w:rsidTr="00E273DA">
      <w:tc>
        <w:tcPr>
          <w:tcW w:w="8647" w:type="dxa"/>
        </w:tcPr>
        <w:p w14:paraId="02C1296B" w14:textId="6A785085" w:rsidR="00606116" w:rsidRPr="00620C38" w:rsidRDefault="00606116" w:rsidP="00620C38">
          <w:pPr>
            <w:spacing w:before="40" w:line="240" w:lineRule="auto"/>
            <w:rPr>
              <w:noProof/>
              <w:sz w:val="16"/>
            </w:rPr>
          </w:pPr>
          <w:r w:rsidRPr="00620C38">
            <w:rPr>
              <w:noProof/>
              <w:sz w:val="16"/>
            </w:rPr>
            <w:t xml:space="preserve">    </w:t>
          </w:r>
          <w:r w:rsidRPr="00620C38">
            <w:rPr>
              <w:noProof/>
              <w:sz w:val="16"/>
            </w:rPr>
            <w:fldChar w:fldCharType="begin"/>
          </w:r>
          <w:r w:rsidRPr="00620C38">
            <w:rPr>
              <w:noProof/>
              <w:sz w:val="16"/>
            </w:rPr>
            <w:instrText xml:space="preserve"> SAVEDATE \@ "d.M.yyyy" \* MERGEFORMAT </w:instrText>
          </w:r>
          <w:r w:rsidRPr="00620C38">
            <w:rPr>
              <w:noProof/>
              <w:sz w:val="16"/>
            </w:rPr>
            <w:fldChar w:fldCharType="separate"/>
          </w:r>
          <w:r w:rsidR="00A412D8">
            <w:rPr>
              <w:noProof/>
              <w:sz w:val="16"/>
            </w:rPr>
            <w:t>9.7.2019</w:t>
          </w:r>
          <w:r w:rsidRPr="00620C38">
            <w:rPr>
              <w:noProof/>
              <w:sz w:val="16"/>
            </w:rPr>
            <w:fldChar w:fldCharType="end"/>
          </w:r>
        </w:p>
      </w:tc>
      <w:tc>
        <w:tcPr>
          <w:tcW w:w="709" w:type="dxa"/>
        </w:tcPr>
        <w:p w14:paraId="475EB0DB" w14:textId="70B16AE2" w:rsidR="00606116" w:rsidRPr="00620C38" w:rsidRDefault="00606116" w:rsidP="00620C38">
          <w:pPr>
            <w:spacing w:before="40" w:line="240" w:lineRule="auto"/>
            <w:jc w:val="right"/>
            <w:rPr>
              <w:noProof/>
              <w:sz w:val="16"/>
            </w:rPr>
          </w:pPr>
          <w:r w:rsidRPr="00620C38">
            <w:rPr>
              <w:noProof/>
              <w:snapToGrid w:val="0"/>
              <w:sz w:val="16"/>
            </w:rPr>
            <w:t xml:space="preserve">page </w:t>
          </w:r>
          <w:r w:rsidRPr="00620C38">
            <w:rPr>
              <w:noProof/>
              <w:snapToGrid w:val="0"/>
              <w:sz w:val="16"/>
            </w:rPr>
            <w:fldChar w:fldCharType="begin"/>
          </w:r>
          <w:r w:rsidRPr="00620C38">
            <w:rPr>
              <w:noProof/>
              <w:snapToGrid w:val="0"/>
              <w:sz w:val="16"/>
            </w:rPr>
            <w:instrText xml:space="preserve"> PAGE </w:instrText>
          </w:r>
          <w:r w:rsidRPr="00620C38">
            <w:rPr>
              <w:noProof/>
              <w:snapToGrid w:val="0"/>
              <w:sz w:val="16"/>
            </w:rPr>
            <w:fldChar w:fldCharType="separate"/>
          </w:r>
          <w:r w:rsidR="00A412D8">
            <w:rPr>
              <w:noProof/>
              <w:snapToGrid w:val="0"/>
              <w:sz w:val="16"/>
            </w:rPr>
            <w:t>1</w:t>
          </w:r>
          <w:r w:rsidRPr="00620C38">
            <w:rPr>
              <w:noProof/>
              <w:snapToGrid w:val="0"/>
              <w:sz w:val="16"/>
            </w:rPr>
            <w:fldChar w:fldCharType="end"/>
          </w:r>
        </w:p>
      </w:tc>
    </w:tr>
  </w:tbl>
  <w:p w14:paraId="0596A720" w14:textId="77777777" w:rsidR="00606116" w:rsidRPr="00620C38" w:rsidRDefault="00606116" w:rsidP="00620C38">
    <w:pPr>
      <w:pStyle w:val="Footer"/>
    </w:pPr>
    <w:r>
      <w:rPr>
        <w:sz w:val="12"/>
      </w:rPr>
      <w:t>Allens is an independent partnership operating in alliance with Linklaters LLP.</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Borders>
        <w:top w:val="single" w:sz="4" w:space="0" w:color="auto"/>
      </w:tblBorders>
      <w:tblLayout w:type="fixed"/>
      <w:tblCellMar>
        <w:left w:w="0" w:type="dxa"/>
        <w:right w:w="0" w:type="dxa"/>
      </w:tblCellMar>
      <w:tblLook w:val="0000" w:firstRow="0" w:lastRow="0" w:firstColumn="0" w:lastColumn="0" w:noHBand="0" w:noVBand="0"/>
    </w:tblPr>
    <w:tblGrid>
      <w:gridCol w:w="8647"/>
      <w:gridCol w:w="709"/>
    </w:tblGrid>
    <w:tr w:rsidR="00606116" w14:paraId="24C1A700" w14:textId="77777777" w:rsidTr="00E273DA">
      <w:tc>
        <w:tcPr>
          <w:tcW w:w="8647" w:type="dxa"/>
        </w:tcPr>
        <w:p w14:paraId="02DA824F" w14:textId="4728C62E" w:rsidR="00606116" w:rsidRDefault="00606116" w:rsidP="00E273DA">
          <w:pPr>
            <w:pStyle w:val="Footer"/>
          </w:pPr>
          <w:r>
            <w:t xml:space="preserve">    </w:t>
          </w:r>
          <w:r>
            <w:fldChar w:fldCharType="begin"/>
          </w:r>
          <w:r>
            <w:instrText xml:space="preserve"> SAVEDATE \@ "d.M.yyyy" \* MERGEFORMAT </w:instrText>
          </w:r>
          <w:r>
            <w:fldChar w:fldCharType="separate"/>
          </w:r>
          <w:r w:rsidR="00A412D8">
            <w:t>9.7.2019</w:t>
          </w:r>
          <w:r>
            <w:fldChar w:fldCharType="end"/>
          </w:r>
        </w:p>
      </w:tc>
      <w:tc>
        <w:tcPr>
          <w:tcW w:w="709" w:type="dxa"/>
        </w:tcPr>
        <w:p w14:paraId="13C5C274" w14:textId="77777777" w:rsidR="00606116" w:rsidRDefault="00606116" w:rsidP="00E273DA">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snapToGrid w:val="0"/>
            </w:rPr>
            <w:t>6</w:t>
          </w:r>
          <w:r>
            <w:rPr>
              <w:snapToGrid w:val="0"/>
            </w:rPr>
            <w:fldChar w:fldCharType="end"/>
          </w:r>
        </w:p>
      </w:tc>
    </w:tr>
  </w:tbl>
  <w:p w14:paraId="343060BA" w14:textId="77777777" w:rsidR="00606116" w:rsidRPr="00620C38" w:rsidRDefault="00606116" w:rsidP="00620C38">
    <w:pPr>
      <w:pStyle w:val="Footer"/>
    </w:pPr>
    <w:r>
      <w:rPr>
        <w:sz w:val="12"/>
      </w:rPr>
      <w:t>Allens is an independent partnership operating in alliance with Linklaters LLP.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7C634" w14:textId="77777777" w:rsidR="00606116" w:rsidRDefault="00606116" w:rsidP="00620C38">
      <w:pPr>
        <w:spacing w:before="0" w:line="240" w:lineRule="auto"/>
      </w:pPr>
      <w:r>
        <w:separator/>
      </w:r>
    </w:p>
  </w:footnote>
  <w:footnote w:type="continuationSeparator" w:id="0">
    <w:p w14:paraId="5FB98FA5" w14:textId="77777777" w:rsidR="00606116" w:rsidRDefault="00606116" w:rsidP="00620C38">
      <w:pPr>
        <w:spacing w:before="0" w:line="240" w:lineRule="auto"/>
      </w:pPr>
      <w:r>
        <w:continuationSeparator/>
      </w:r>
    </w:p>
  </w:footnote>
  <w:footnote w:id="1">
    <w:p w14:paraId="5C4F9642" w14:textId="77777777" w:rsidR="00606116" w:rsidRDefault="00606116">
      <w:pPr>
        <w:pStyle w:val="FootnoteText"/>
      </w:pPr>
      <w:r>
        <w:rPr>
          <w:rStyle w:val="FootnoteReference"/>
        </w:rPr>
        <w:footnoteRef/>
      </w:r>
      <w:r>
        <w:t xml:space="preserve"> </w:t>
      </w:r>
      <w:bookmarkStart w:id="19" w:name="_Hlk8891870"/>
      <w:r>
        <w:t xml:space="preserve">United Nations Statistics Division, </w:t>
      </w:r>
      <w:r>
        <w:rPr>
          <w:i/>
        </w:rPr>
        <w:t xml:space="preserve">UNCountryStats </w:t>
      </w:r>
      <w:r>
        <w:t>(2017) &lt;</w:t>
      </w:r>
      <w:r w:rsidRPr="00872781">
        <w:t>http://data.un.org/en/iso/np.html</w:t>
      </w:r>
      <w:r>
        <w:t>&gt;.</w:t>
      </w:r>
      <w:bookmarkEnd w:id="19"/>
    </w:p>
  </w:footnote>
  <w:footnote w:id="2">
    <w:p w14:paraId="74443F42" w14:textId="77777777" w:rsidR="00606116" w:rsidRDefault="00606116">
      <w:pPr>
        <w:pStyle w:val="FootnoteText"/>
      </w:pPr>
      <w:r>
        <w:rPr>
          <w:rStyle w:val="FootnoteReference"/>
        </w:rPr>
        <w:footnoteRef/>
      </w:r>
      <w:r>
        <w:t xml:space="preserve"> </w:t>
      </w:r>
      <w:bookmarkStart w:id="20" w:name="_Hlk8891884"/>
      <w:r>
        <w:t xml:space="preserve">Department of Foreign Affairs and Trade, </w:t>
      </w:r>
      <w:r>
        <w:rPr>
          <w:i/>
        </w:rPr>
        <w:t xml:space="preserve">DFAT Country Information Report: Nepal </w:t>
      </w:r>
      <w:r>
        <w:t>(21 April 2016) 4 &lt;</w:t>
      </w:r>
      <w:r w:rsidRPr="00EF0629">
        <w:t>http://dfat.gov.au/about-us/publications/Documents/country-information-report-nepal.pdf</w:t>
      </w:r>
      <w:r>
        <w:t>&gt;.</w:t>
      </w:r>
    </w:p>
    <w:bookmarkEnd w:id="20"/>
  </w:footnote>
  <w:footnote w:id="3">
    <w:p w14:paraId="793BCCA5" w14:textId="4F2F1FC6" w:rsidR="00606116" w:rsidRDefault="00606116">
      <w:pPr>
        <w:pStyle w:val="FootnoteText"/>
      </w:pPr>
      <w:r>
        <w:rPr>
          <w:rStyle w:val="FootnoteReference"/>
        </w:rPr>
        <w:footnoteRef/>
      </w:r>
      <w:r>
        <w:t xml:space="preserve"> </w:t>
      </w:r>
      <w:bookmarkStart w:id="21" w:name="_Hlk8891920"/>
      <w:r>
        <w:t xml:space="preserve">Constitution Net, </w:t>
      </w:r>
      <w:r>
        <w:rPr>
          <w:i/>
        </w:rPr>
        <w:t>Interim Constitution of Nepal 2007</w:t>
      </w:r>
      <w:r>
        <w:t xml:space="preserve"> &lt;</w:t>
      </w:r>
      <w:r w:rsidRPr="0064230A">
        <w:t>http://www.constitutionnet.org/vl/item/interim-constitution-nepal-2007</w:t>
      </w:r>
      <w:r>
        <w:t xml:space="preserve">&gt;. </w:t>
      </w:r>
      <w:bookmarkEnd w:id="21"/>
    </w:p>
  </w:footnote>
  <w:footnote w:id="4">
    <w:p w14:paraId="0626D7F2" w14:textId="77777777" w:rsidR="00606116" w:rsidRDefault="00606116">
      <w:pPr>
        <w:pStyle w:val="FootnoteText"/>
      </w:pPr>
      <w:r>
        <w:rPr>
          <w:rStyle w:val="FootnoteReference"/>
        </w:rPr>
        <w:footnoteRef/>
      </w:r>
      <w:r>
        <w:t xml:space="preserve"> Comparative Constitutions Project, </w:t>
      </w:r>
      <w:r w:rsidRPr="00FD7306">
        <w:rPr>
          <w:i/>
        </w:rPr>
        <w:t>Constitution of Nepal 2015</w:t>
      </w:r>
      <w:r>
        <w:t xml:space="preserve"> &lt;</w:t>
      </w:r>
      <w:r w:rsidRPr="00FD7306">
        <w:t>https://www.constituteproject.org/constitution/Nepal_2015.pdf</w:t>
      </w:r>
      <w:r>
        <w:t xml:space="preserve">&gt; (unofficial translation by Nepal Law Society, International IDEA, and UNDP). See also Department of Foreign Affairs and Trade, </w:t>
      </w:r>
      <w:r>
        <w:rPr>
          <w:i/>
        </w:rPr>
        <w:t xml:space="preserve">DFAT Country Information Report: Nepal </w:t>
      </w:r>
      <w:r>
        <w:t>(21 April 2016) 4 &lt;</w:t>
      </w:r>
      <w:r w:rsidRPr="00EF0629">
        <w:t>http://dfat.gov.au/about-us/publications/Documents/country-information-report-nepal.pdf</w:t>
      </w:r>
      <w:r>
        <w:t>&gt;.</w:t>
      </w:r>
    </w:p>
  </w:footnote>
  <w:footnote w:id="5">
    <w:p w14:paraId="1B371816" w14:textId="33AC0576" w:rsidR="00606116" w:rsidRDefault="00606116" w:rsidP="00B82A97">
      <w:pPr>
        <w:pStyle w:val="FootnoteText"/>
      </w:pPr>
      <w:r>
        <w:rPr>
          <w:rStyle w:val="FootnoteReference"/>
        </w:rPr>
        <w:footnoteRef/>
      </w:r>
      <w:r>
        <w:t xml:space="preserve"> Constitution art 56(1).</w:t>
      </w:r>
    </w:p>
  </w:footnote>
  <w:footnote w:id="6">
    <w:p w14:paraId="2BA3CE2C" w14:textId="695A56B5" w:rsidR="00606116" w:rsidRDefault="00606116" w:rsidP="00B82A97">
      <w:pPr>
        <w:pStyle w:val="FootnoteText"/>
      </w:pPr>
      <w:r>
        <w:rPr>
          <w:rStyle w:val="FootnoteReference"/>
        </w:rPr>
        <w:footnoteRef/>
      </w:r>
      <w:r>
        <w:t xml:space="preserve"> Constitution art 56(3), sch 4.</w:t>
      </w:r>
    </w:p>
  </w:footnote>
  <w:footnote w:id="7">
    <w:p w14:paraId="46294114" w14:textId="49BD4B99" w:rsidR="00606116" w:rsidRDefault="00606116" w:rsidP="00B82A97">
      <w:pPr>
        <w:pStyle w:val="FootnoteText"/>
      </w:pPr>
      <w:r>
        <w:rPr>
          <w:rStyle w:val="FootnoteReference"/>
        </w:rPr>
        <w:footnoteRef/>
      </w:r>
      <w:r>
        <w:t xml:space="preserve"> Constitution art 56(4).</w:t>
      </w:r>
    </w:p>
  </w:footnote>
  <w:footnote w:id="8">
    <w:p w14:paraId="37B286F7" w14:textId="7E0A115B" w:rsidR="00606116" w:rsidRDefault="00606116" w:rsidP="00B82A97">
      <w:pPr>
        <w:pStyle w:val="FootnoteText"/>
      </w:pPr>
      <w:r>
        <w:rPr>
          <w:rStyle w:val="FootnoteReference"/>
        </w:rPr>
        <w:footnoteRef/>
      </w:r>
      <w:r>
        <w:t xml:space="preserve"> Constitution art 57.</w:t>
      </w:r>
    </w:p>
  </w:footnote>
  <w:footnote w:id="9">
    <w:p w14:paraId="56F07E62" w14:textId="6348DC06" w:rsidR="00606116" w:rsidRDefault="00606116" w:rsidP="00B82A97">
      <w:pPr>
        <w:pStyle w:val="FootnoteText"/>
      </w:pPr>
      <w:r>
        <w:rPr>
          <w:rStyle w:val="FootnoteReference"/>
        </w:rPr>
        <w:footnoteRef/>
      </w:r>
      <w:r>
        <w:t xml:space="preserve"> Constitution art 58.</w:t>
      </w:r>
    </w:p>
  </w:footnote>
  <w:footnote w:id="10">
    <w:p w14:paraId="632D4878" w14:textId="77777777" w:rsidR="00606116" w:rsidRDefault="00606116">
      <w:pPr>
        <w:pStyle w:val="FootnoteText"/>
      </w:pPr>
      <w:r>
        <w:rPr>
          <w:rStyle w:val="FootnoteReference"/>
        </w:rPr>
        <w:footnoteRef/>
      </w:r>
      <w:r>
        <w:t xml:space="preserve"> Department of Foreign Affairs and Trade, </w:t>
      </w:r>
      <w:r>
        <w:rPr>
          <w:i/>
        </w:rPr>
        <w:t xml:space="preserve">DFAT Country Information Report: Nepal </w:t>
      </w:r>
      <w:r>
        <w:t>(21 April 2016) 4 &lt;</w:t>
      </w:r>
      <w:r w:rsidRPr="00EF0629">
        <w:t>http://dfat.gov.au/about-us/publications/Documents/country-information-report-nepal.pdf</w:t>
      </w:r>
      <w:r>
        <w:t>&gt;.</w:t>
      </w:r>
    </w:p>
  </w:footnote>
  <w:footnote w:id="11">
    <w:p w14:paraId="5B421FC0" w14:textId="77777777" w:rsidR="00606116" w:rsidRDefault="00606116" w:rsidP="00B82A97">
      <w:pPr>
        <w:pStyle w:val="FootnoteText"/>
      </w:pPr>
      <w:r>
        <w:rPr>
          <w:rStyle w:val="FootnoteReference"/>
        </w:rPr>
        <w:footnoteRef/>
      </w:r>
      <w:r>
        <w:t xml:space="preserve"> Department of Foreign Affairs and Trade, </w:t>
      </w:r>
      <w:r>
        <w:rPr>
          <w:i/>
        </w:rPr>
        <w:t xml:space="preserve">DFAT Country Information Report: Nepal </w:t>
      </w:r>
      <w:r>
        <w:t>(21 April 2016) 4 &lt;</w:t>
      </w:r>
      <w:r w:rsidRPr="00EF0629">
        <w:t>http://dfat.gov.au/about-us/publications/Documents/country-information-report-nepal.pdf</w:t>
      </w:r>
      <w:r>
        <w:t>&gt;.</w:t>
      </w:r>
    </w:p>
  </w:footnote>
  <w:footnote w:id="12">
    <w:p w14:paraId="12C8E1C5" w14:textId="77777777" w:rsidR="00606116" w:rsidRDefault="00606116">
      <w:pPr>
        <w:pStyle w:val="FootnoteText"/>
      </w:pPr>
      <w:r>
        <w:rPr>
          <w:rStyle w:val="FootnoteReference"/>
        </w:rPr>
        <w:footnoteRef/>
      </w:r>
      <w:r>
        <w:t xml:space="preserve"> United Nations Statistics Division, </w:t>
      </w:r>
      <w:r>
        <w:rPr>
          <w:i/>
        </w:rPr>
        <w:t xml:space="preserve">UNCountryStats </w:t>
      </w:r>
      <w:r>
        <w:t>(2017) &lt;</w:t>
      </w:r>
      <w:r w:rsidRPr="00872781">
        <w:t>http://data.un.org/en/iso/np.html</w:t>
      </w:r>
      <w:r>
        <w:t>&gt;.</w:t>
      </w:r>
    </w:p>
  </w:footnote>
  <w:footnote w:id="13">
    <w:p w14:paraId="3F89EDF3" w14:textId="7A53D4E4" w:rsidR="00606116" w:rsidRDefault="00606116" w:rsidP="004651CD">
      <w:pPr>
        <w:pStyle w:val="FootnoteText"/>
      </w:pPr>
      <w:r>
        <w:rPr>
          <w:rStyle w:val="FootnoteReference"/>
        </w:rPr>
        <w:footnoteRef/>
      </w:r>
      <w:r>
        <w:t xml:space="preserve"> </w:t>
      </w:r>
      <w:bookmarkStart w:id="23" w:name="_Hlk8891952"/>
      <w:r>
        <w:t xml:space="preserve">Babu Ram Acharya, </w:t>
      </w:r>
      <w:r w:rsidRPr="00CD1F3E">
        <w:rPr>
          <w:i/>
        </w:rPr>
        <w:t>Land Tenure and Land Registration in Nepal</w:t>
      </w:r>
      <w:r>
        <w:rPr>
          <w:i/>
        </w:rPr>
        <w:t xml:space="preserve"> </w:t>
      </w:r>
      <w:r w:rsidRPr="00CD1F3E">
        <w:t xml:space="preserve">(June 2008) </w:t>
      </w:r>
      <w:r>
        <w:t>3 &lt;</w:t>
      </w:r>
      <w:r w:rsidRPr="00CD1F3E">
        <w:t>http://www.fig.net/resources/proceedings/fig_proceedings/fig2008/papers/ts07b/ts07b_02_acharya_2747.pdf</w:t>
      </w:r>
      <w:r>
        <w:t>&gt;.</w:t>
      </w:r>
    </w:p>
    <w:bookmarkEnd w:id="23"/>
  </w:footnote>
  <w:footnote w:id="14">
    <w:p w14:paraId="297A63A3" w14:textId="77777777" w:rsidR="00606116" w:rsidRDefault="00606116" w:rsidP="004651CD">
      <w:pPr>
        <w:pStyle w:val="FootnoteText"/>
      </w:pPr>
      <w:r>
        <w:rPr>
          <w:rStyle w:val="FootnoteReference"/>
        </w:rPr>
        <w:footnoteRef/>
      </w:r>
      <w:r>
        <w:t xml:space="preserve"> </w:t>
      </w:r>
      <w:bookmarkStart w:id="24" w:name="_Hlk8891968"/>
      <w:r>
        <w:t xml:space="preserve">Madhav Josji and T David Mason, 'Land Tenure, Democracy and Insurgency in Nepal: Peasant Support for Insurgency Versus Democracy' (2007) 47 </w:t>
      </w:r>
      <w:r>
        <w:rPr>
          <w:i/>
        </w:rPr>
        <w:t>Asian Survey</w:t>
      </w:r>
      <w:r>
        <w:t xml:space="preserve"> 393</w:t>
      </w:r>
      <w:bookmarkEnd w:id="24"/>
      <w:r>
        <w:t>, 400–1.</w:t>
      </w:r>
    </w:p>
  </w:footnote>
  <w:footnote w:id="15">
    <w:p w14:paraId="46F6CBEB" w14:textId="77777777" w:rsidR="00606116" w:rsidRDefault="00606116">
      <w:pPr>
        <w:pStyle w:val="FootnoteText"/>
      </w:pPr>
      <w:r>
        <w:rPr>
          <w:rStyle w:val="FootnoteReference"/>
        </w:rPr>
        <w:footnoteRef/>
      </w:r>
      <w:r>
        <w:t xml:space="preserve"> Food and Agriculture Organization, </w:t>
      </w:r>
      <w:r w:rsidRPr="00FD7306">
        <w:rPr>
          <w:i/>
        </w:rPr>
        <w:t>Land (Survey and Measurement) Act, 2019</w:t>
      </w:r>
      <w:r>
        <w:t xml:space="preserve"> (1963) &lt;</w:t>
      </w:r>
      <w:r w:rsidRPr="006B25AC">
        <w:t>http://www.fao.org/faolex/resu</w:t>
      </w:r>
      <w:r>
        <w:t>lts/details/en/c/LEX-FAOC107985&gt;.</w:t>
      </w:r>
    </w:p>
  </w:footnote>
  <w:footnote w:id="16">
    <w:p w14:paraId="04F9BED5" w14:textId="497DC4EE" w:rsidR="00606116" w:rsidRDefault="00606116">
      <w:pPr>
        <w:pStyle w:val="FootnoteText"/>
      </w:pPr>
      <w:r>
        <w:rPr>
          <w:rStyle w:val="FootnoteReference"/>
        </w:rPr>
        <w:footnoteRef/>
      </w:r>
      <w:r>
        <w:t xml:space="preserve"> Food and Agriculture Organization, </w:t>
      </w:r>
      <w:r w:rsidRPr="00FD7306">
        <w:rPr>
          <w:i/>
        </w:rPr>
        <w:t>Lands Act, 2021</w:t>
      </w:r>
      <w:r w:rsidRPr="00023CD6">
        <w:t xml:space="preserve"> (1964)</w:t>
      </w:r>
      <w:r>
        <w:rPr>
          <w:i/>
        </w:rPr>
        <w:t xml:space="preserve"> &lt;</w:t>
      </w:r>
      <w:r w:rsidRPr="006B25AC">
        <w:t>http://www.fao.org/faolex/results/details/en/c/LEX-FAOC006239</w:t>
      </w:r>
      <w:r>
        <w:t xml:space="preserve">&gt;. </w:t>
      </w:r>
    </w:p>
  </w:footnote>
  <w:footnote w:id="17">
    <w:p w14:paraId="7C1A974A" w14:textId="77777777" w:rsidR="00606116" w:rsidRDefault="00606116" w:rsidP="006B25AC">
      <w:pPr>
        <w:pStyle w:val="FootnoteText"/>
      </w:pPr>
      <w:r>
        <w:rPr>
          <w:rStyle w:val="FootnoteReference"/>
        </w:rPr>
        <w:footnoteRef/>
      </w:r>
      <w:r>
        <w:t xml:space="preserve"> Food and Agriculture Organization, </w:t>
      </w:r>
      <w:r w:rsidRPr="00FD7306">
        <w:rPr>
          <w:i/>
        </w:rPr>
        <w:t>Land Acquisition Act, 2034</w:t>
      </w:r>
      <w:r w:rsidRPr="00023CD6">
        <w:t xml:space="preserve"> (1977)</w:t>
      </w:r>
      <w:r>
        <w:t xml:space="preserve"> </w:t>
      </w:r>
      <w:r w:rsidRPr="00023CD6">
        <w:t>&lt;</w:t>
      </w:r>
      <w:r w:rsidRPr="006B25AC">
        <w:t>http://www.fao.org/faolex/results/details/en/c/LEX-FAOC006227</w:t>
      </w:r>
      <w:r>
        <w:t>&gt;.</w:t>
      </w:r>
    </w:p>
  </w:footnote>
  <w:footnote w:id="18">
    <w:p w14:paraId="232AEEA4" w14:textId="531C57A7" w:rsidR="00606116" w:rsidRDefault="00606116">
      <w:pPr>
        <w:pStyle w:val="FootnoteText"/>
      </w:pPr>
      <w:r w:rsidRPr="0047706B">
        <w:rPr>
          <w:rStyle w:val="FootnoteReference"/>
        </w:rPr>
        <w:footnoteRef/>
      </w:r>
      <w:r w:rsidRPr="0047706B">
        <w:t xml:space="preserve"> </w:t>
      </w:r>
      <w:r w:rsidRPr="00FD7306">
        <w:t>Food and Agriculture Organi</w:t>
      </w:r>
      <w:r>
        <w:t>z</w:t>
      </w:r>
      <w:r w:rsidRPr="00FD7306">
        <w:t>ation</w:t>
      </w:r>
      <w:r w:rsidRPr="0047706B">
        <w:t xml:space="preserve">, </w:t>
      </w:r>
      <w:r w:rsidRPr="00FD7306">
        <w:rPr>
          <w:i/>
        </w:rPr>
        <w:t>Land Revenue Act, 2034</w:t>
      </w:r>
      <w:r w:rsidRPr="0047706B">
        <w:t xml:space="preserve"> (19</w:t>
      </w:r>
      <w:r w:rsidRPr="00FD7306">
        <w:t>78</w:t>
      </w:r>
      <w:r w:rsidRPr="0047706B">
        <w:t>)</w:t>
      </w:r>
      <w:r w:rsidRPr="00FD7306">
        <w:t xml:space="preserve"> &lt;http://www.fao.org/faolex/results/details/en/c/LEX-FAOC107986&gt;</w:t>
      </w:r>
      <w:r w:rsidRPr="0047706B">
        <w:t>.</w:t>
      </w:r>
    </w:p>
  </w:footnote>
  <w:footnote w:id="19">
    <w:p w14:paraId="79D72697" w14:textId="48B8B6F9" w:rsidR="00606116" w:rsidRDefault="00606116">
      <w:pPr>
        <w:pStyle w:val="FootnoteText"/>
      </w:pPr>
      <w:r>
        <w:rPr>
          <w:rStyle w:val="FootnoteReference"/>
        </w:rPr>
        <w:footnoteRef/>
      </w:r>
      <w:r>
        <w:t xml:space="preserve"> Nepal Law Commission, </w:t>
      </w:r>
      <w:r w:rsidRPr="00FD7306">
        <w:rPr>
          <w:i/>
        </w:rPr>
        <w:t>Local Government Operation Act, 2074</w:t>
      </w:r>
      <w:r>
        <w:t xml:space="preserve"> (2017). The Act is not available in English.</w:t>
      </w:r>
    </w:p>
  </w:footnote>
  <w:footnote w:id="20">
    <w:p w14:paraId="4DF069E3" w14:textId="77777777" w:rsidR="00606116" w:rsidRDefault="00606116">
      <w:pPr>
        <w:pStyle w:val="FootnoteText"/>
      </w:pPr>
      <w:r>
        <w:rPr>
          <w:rStyle w:val="FootnoteReference"/>
        </w:rPr>
        <w:footnoteRef/>
      </w:r>
      <w:r>
        <w:t xml:space="preserve"> See Lands Act s 2(a) (definition of 'Landowner').</w:t>
      </w:r>
    </w:p>
  </w:footnote>
  <w:footnote w:id="21">
    <w:p w14:paraId="1B1B0D32" w14:textId="79A12EE4" w:rsidR="00606116" w:rsidRDefault="00606116" w:rsidP="00D94E3A">
      <w:pPr>
        <w:pStyle w:val="FootnoteText"/>
      </w:pPr>
      <w:r>
        <w:rPr>
          <w:rStyle w:val="FootnoteReference"/>
        </w:rPr>
        <w:footnoteRef/>
      </w:r>
      <w:r>
        <w:t xml:space="preserve"> </w:t>
      </w:r>
      <w:bookmarkStart w:id="37" w:name="_Hlk8891988"/>
      <w:r>
        <w:t xml:space="preserve">Agathe Nougaret and Ram Danuwar, </w:t>
      </w:r>
      <w:r w:rsidRPr="00CD1F3E">
        <w:rPr>
          <w:i/>
        </w:rPr>
        <w:t>Housing, Land and Property Issues in Nepal</w:t>
      </w:r>
      <w:r>
        <w:rPr>
          <w:i/>
        </w:rPr>
        <w:t>:</w:t>
      </w:r>
      <w:r w:rsidRPr="00CD1F3E">
        <w:rPr>
          <w:i/>
        </w:rPr>
        <w:t xml:space="preserve"> </w:t>
      </w:r>
      <w:r>
        <w:rPr>
          <w:i/>
        </w:rPr>
        <w:t>A</w:t>
      </w:r>
      <w:r w:rsidRPr="00CD1F3E">
        <w:rPr>
          <w:i/>
        </w:rPr>
        <w:t xml:space="preserve">nd </w:t>
      </w:r>
      <w:r>
        <w:rPr>
          <w:i/>
        </w:rPr>
        <w:t>t</w:t>
      </w:r>
      <w:r w:rsidRPr="00CD1F3E">
        <w:rPr>
          <w:i/>
        </w:rPr>
        <w:t xml:space="preserve">heir </w:t>
      </w:r>
      <w:r>
        <w:rPr>
          <w:i/>
        </w:rPr>
        <w:t>C</w:t>
      </w:r>
      <w:r w:rsidRPr="00CD1F3E">
        <w:rPr>
          <w:i/>
        </w:rPr>
        <w:t xml:space="preserve">onsequences for the </w:t>
      </w:r>
      <w:r>
        <w:rPr>
          <w:i/>
        </w:rPr>
        <w:t>P</w:t>
      </w:r>
      <w:r w:rsidRPr="00CD1F3E">
        <w:rPr>
          <w:i/>
        </w:rPr>
        <w:t>ost-</w:t>
      </w:r>
      <w:r>
        <w:rPr>
          <w:i/>
        </w:rPr>
        <w:t>E</w:t>
      </w:r>
      <w:r w:rsidRPr="00CD1F3E">
        <w:rPr>
          <w:i/>
        </w:rPr>
        <w:t xml:space="preserve">arthquake </w:t>
      </w:r>
      <w:r>
        <w:rPr>
          <w:i/>
        </w:rPr>
        <w:t>R</w:t>
      </w:r>
      <w:r w:rsidRPr="00CD1F3E">
        <w:rPr>
          <w:i/>
        </w:rPr>
        <w:t>econstruction process</w:t>
      </w:r>
      <w:r>
        <w:t xml:space="preserve"> (2016) 14 &lt;</w:t>
      </w:r>
      <w:r w:rsidRPr="003011B8">
        <w:t>https://insights.careinternational.org.uk/publications/housing-land-and-property-issues-in-nepal-and-their-consequences-for-the-post-earthquake-reconstruction-process</w:t>
      </w:r>
      <w:r>
        <w:t>&gt;</w:t>
      </w:r>
      <w:bookmarkEnd w:id="37"/>
      <w:r>
        <w:t>.</w:t>
      </w:r>
    </w:p>
  </w:footnote>
  <w:footnote w:id="22">
    <w:p w14:paraId="77D607EF" w14:textId="4C12E1DB" w:rsidR="00606116" w:rsidRPr="00A462EA" w:rsidRDefault="00606116">
      <w:pPr>
        <w:pStyle w:val="FootnoteText"/>
      </w:pPr>
      <w:r w:rsidRPr="00A462EA">
        <w:rPr>
          <w:rStyle w:val="FootnoteReference"/>
        </w:rPr>
        <w:footnoteRef/>
      </w:r>
      <w:r w:rsidRPr="00A462EA">
        <w:t xml:space="preserve"> See Constitution </w:t>
      </w:r>
      <w:r>
        <w:t>art</w:t>
      </w:r>
      <w:r w:rsidRPr="00A462EA">
        <w:t xml:space="preserve"> 25.</w:t>
      </w:r>
    </w:p>
  </w:footnote>
  <w:footnote w:id="23">
    <w:p w14:paraId="68FB54AE" w14:textId="2EAF47B0" w:rsidR="00606116" w:rsidRDefault="00606116">
      <w:pPr>
        <w:pStyle w:val="FootnoteText"/>
      </w:pPr>
      <w:r w:rsidRPr="00A462EA">
        <w:rPr>
          <w:rStyle w:val="FootnoteReference"/>
        </w:rPr>
        <w:footnoteRef/>
      </w:r>
      <w:r w:rsidRPr="00A462EA">
        <w:t xml:space="preserve"> Agathe Nougaret and Ram Danuwar, </w:t>
      </w:r>
      <w:r w:rsidRPr="00A462EA">
        <w:rPr>
          <w:i/>
        </w:rPr>
        <w:t>Housing, Land and Property Issues in Nepal: And their Consequences for the Post-Earthquake Reconstruction process</w:t>
      </w:r>
      <w:r w:rsidRPr="00A462EA">
        <w:t xml:space="preserve"> (2016) 6 &lt;https://insights.careinternational.org.uk/publications/housing-land-and-property-issues-in-nepal-and-their-consequences-for-the-post-earthquake-reconstruction-process&gt;</w:t>
      </w:r>
      <w:r>
        <w:t>.</w:t>
      </w:r>
    </w:p>
  </w:footnote>
  <w:footnote w:id="24">
    <w:p w14:paraId="0CEC96F8" w14:textId="4F973E3F" w:rsidR="00606116" w:rsidRDefault="00606116">
      <w:pPr>
        <w:pStyle w:val="FootnoteText"/>
      </w:pPr>
      <w:r>
        <w:rPr>
          <w:rStyle w:val="FootnoteReference"/>
        </w:rPr>
        <w:footnoteRef/>
      </w:r>
      <w:r>
        <w:t xml:space="preserve"> Lands Act s 12. </w:t>
      </w:r>
    </w:p>
  </w:footnote>
  <w:footnote w:id="25">
    <w:p w14:paraId="6B684FF4" w14:textId="783BC87B" w:rsidR="00606116" w:rsidRDefault="00606116" w:rsidP="005D6A03">
      <w:pPr>
        <w:pStyle w:val="FootnoteText"/>
      </w:pPr>
      <w:r>
        <w:rPr>
          <w:rStyle w:val="FootnoteReference"/>
        </w:rPr>
        <w:footnoteRef/>
      </w:r>
      <w:r>
        <w:t xml:space="preserve"> Lands Act s 21. </w:t>
      </w:r>
    </w:p>
  </w:footnote>
  <w:footnote w:id="26">
    <w:p w14:paraId="1BD035C2" w14:textId="40ED28EE" w:rsidR="00606116" w:rsidRDefault="00606116">
      <w:pPr>
        <w:pStyle w:val="FootnoteText"/>
      </w:pPr>
      <w:r>
        <w:rPr>
          <w:rStyle w:val="FootnoteReference"/>
        </w:rPr>
        <w:footnoteRef/>
      </w:r>
      <w:r>
        <w:t xml:space="preserve"> Land Revenue Act s 11.</w:t>
      </w:r>
    </w:p>
  </w:footnote>
  <w:footnote w:id="27">
    <w:p w14:paraId="1DAB1F88" w14:textId="48F8F96B" w:rsidR="00606116" w:rsidRDefault="00606116">
      <w:pPr>
        <w:pStyle w:val="FootnoteText"/>
      </w:pPr>
      <w:r w:rsidRPr="002E2E96">
        <w:rPr>
          <w:rStyle w:val="FootnoteReference"/>
        </w:rPr>
        <w:footnoteRef/>
      </w:r>
      <w:r>
        <w:t xml:space="preserve"> Agathe Nougaret and Ram Danuwar, </w:t>
      </w:r>
      <w:r w:rsidRPr="00CD1F3E">
        <w:rPr>
          <w:i/>
        </w:rPr>
        <w:t>Housing, Land and Property Issues in Nepal</w:t>
      </w:r>
      <w:r>
        <w:rPr>
          <w:i/>
        </w:rPr>
        <w:t>:</w:t>
      </w:r>
      <w:r w:rsidRPr="00CD1F3E">
        <w:rPr>
          <w:i/>
        </w:rPr>
        <w:t xml:space="preserve"> </w:t>
      </w:r>
      <w:r>
        <w:rPr>
          <w:i/>
        </w:rPr>
        <w:t>A</w:t>
      </w:r>
      <w:r w:rsidRPr="00CD1F3E">
        <w:rPr>
          <w:i/>
        </w:rPr>
        <w:t xml:space="preserve">nd </w:t>
      </w:r>
      <w:r>
        <w:rPr>
          <w:i/>
        </w:rPr>
        <w:t>t</w:t>
      </w:r>
      <w:r w:rsidRPr="00CD1F3E">
        <w:rPr>
          <w:i/>
        </w:rPr>
        <w:t xml:space="preserve">heir </w:t>
      </w:r>
      <w:r>
        <w:rPr>
          <w:i/>
        </w:rPr>
        <w:t>C</w:t>
      </w:r>
      <w:r w:rsidRPr="00CD1F3E">
        <w:rPr>
          <w:i/>
        </w:rPr>
        <w:t xml:space="preserve">onsequences for the </w:t>
      </w:r>
      <w:r>
        <w:rPr>
          <w:i/>
        </w:rPr>
        <w:t>P</w:t>
      </w:r>
      <w:r w:rsidRPr="00CD1F3E">
        <w:rPr>
          <w:i/>
        </w:rPr>
        <w:t>ost-</w:t>
      </w:r>
      <w:r>
        <w:rPr>
          <w:i/>
        </w:rPr>
        <w:t>E</w:t>
      </w:r>
      <w:r w:rsidRPr="00CD1F3E">
        <w:rPr>
          <w:i/>
        </w:rPr>
        <w:t xml:space="preserve">arthquake </w:t>
      </w:r>
      <w:r>
        <w:rPr>
          <w:i/>
        </w:rPr>
        <w:t>R</w:t>
      </w:r>
      <w:r w:rsidRPr="00CD1F3E">
        <w:rPr>
          <w:i/>
        </w:rPr>
        <w:t>econstruction process</w:t>
      </w:r>
      <w:r>
        <w:t xml:space="preserve"> (2016) 8 &lt;</w:t>
      </w:r>
      <w:r w:rsidRPr="003011B8">
        <w:t>https://insights.careinternational.org.uk/publications/housing-land-and-property-issues-in-nepal-and-their-consequences-for-the-post-earthquake-reconstruction-process</w:t>
      </w:r>
      <w:r>
        <w:t>&gt;.</w:t>
      </w:r>
    </w:p>
  </w:footnote>
  <w:footnote w:id="28">
    <w:p w14:paraId="48E565E5" w14:textId="12856520" w:rsidR="00606116" w:rsidRDefault="00606116">
      <w:pPr>
        <w:pStyle w:val="FootnoteText"/>
      </w:pPr>
      <w:r>
        <w:rPr>
          <w:rStyle w:val="FootnoteReference"/>
        </w:rPr>
        <w:footnoteRef/>
      </w:r>
      <w:r>
        <w:t xml:space="preserve"> Lands Act s 7.</w:t>
      </w:r>
    </w:p>
  </w:footnote>
  <w:footnote w:id="29">
    <w:p w14:paraId="6CD5C0DF" w14:textId="15D94C57" w:rsidR="00606116" w:rsidRDefault="00606116">
      <w:pPr>
        <w:pStyle w:val="FootnoteText"/>
      </w:pPr>
      <w:r>
        <w:rPr>
          <w:rStyle w:val="FootnoteReference"/>
        </w:rPr>
        <w:footnoteRef/>
      </w:r>
      <w:r>
        <w:t xml:space="preserve"> Nepal Government, Department of Urban Development and Building Construction, </w:t>
      </w:r>
      <w:r w:rsidRPr="00FD7306">
        <w:rPr>
          <w:i/>
        </w:rPr>
        <w:t>Ownership of Joint Housing Act, 2054</w:t>
      </w:r>
      <w:r w:rsidRPr="00023CD6">
        <w:t xml:space="preserve"> (1997)</w:t>
      </w:r>
      <w:r>
        <w:t xml:space="preserve"> ch 4</w:t>
      </w:r>
      <w:r>
        <w:rPr>
          <w:i/>
        </w:rPr>
        <w:t xml:space="preserve"> </w:t>
      </w:r>
      <w:r>
        <w:t>&lt;</w:t>
      </w:r>
      <w:r w:rsidRPr="00981F3C">
        <w:t>http://www.dudbcpalpa.gov.np/public/filesmanager/ownership-of-joint-housing-act-20541997-english.pdf</w:t>
      </w:r>
      <w:r>
        <w:t>&gt;.</w:t>
      </w:r>
    </w:p>
  </w:footnote>
  <w:footnote w:id="30">
    <w:p w14:paraId="5F5518EE" w14:textId="5C904E29" w:rsidR="00606116" w:rsidRDefault="00606116">
      <w:pPr>
        <w:pStyle w:val="FootnoteText"/>
      </w:pPr>
      <w:r>
        <w:rPr>
          <w:rStyle w:val="FootnoteReference"/>
        </w:rPr>
        <w:footnoteRef/>
      </w:r>
      <w:r>
        <w:t xml:space="preserve"> </w:t>
      </w:r>
      <w:r>
        <w:rPr>
          <w:rFonts w:cs="Arial"/>
          <w:szCs w:val="16"/>
        </w:rPr>
        <w:t xml:space="preserve">An official translation of the </w:t>
      </w:r>
      <w:r w:rsidRPr="00FD7306">
        <w:rPr>
          <w:rFonts w:cs="Arial"/>
          <w:i/>
          <w:szCs w:val="16"/>
        </w:rPr>
        <w:t>Muluki Civil (Code) Act</w:t>
      </w:r>
      <w:r>
        <w:rPr>
          <w:rFonts w:cs="Arial"/>
          <w:szCs w:val="16"/>
        </w:rPr>
        <w:t xml:space="preserve"> is not available. An unofficial translation of the Code has been produced by the </w:t>
      </w:r>
      <w:r w:rsidRPr="00AA7259">
        <w:rPr>
          <w:rFonts w:cs="Arial"/>
          <w:szCs w:val="16"/>
        </w:rPr>
        <w:t>Kathmandu School of Law</w:t>
      </w:r>
      <w:r>
        <w:rPr>
          <w:rFonts w:cs="Arial"/>
          <w:szCs w:val="16"/>
        </w:rPr>
        <w:t xml:space="preserve">, </w:t>
      </w:r>
      <w:r w:rsidRPr="00AA7259">
        <w:rPr>
          <w:rFonts w:cs="Arial"/>
          <w:szCs w:val="16"/>
        </w:rPr>
        <w:t>&lt;http://www.asianlii.org/np/legis/laws/marwsopc14513&gt;.</w:t>
      </w:r>
    </w:p>
  </w:footnote>
  <w:footnote w:id="31">
    <w:p w14:paraId="5EAA4E48" w14:textId="32598861" w:rsidR="00606116" w:rsidRDefault="00606116">
      <w:pPr>
        <w:pStyle w:val="FootnoteText"/>
      </w:pPr>
      <w:r>
        <w:rPr>
          <w:rStyle w:val="FootnoteReference"/>
        </w:rPr>
        <w:footnoteRef/>
      </w:r>
      <w:r>
        <w:t xml:space="preserve"> Civil Code s 531.</w:t>
      </w:r>
    </w:p>
  </w:footnote>
  <w:footnote w:id="32">
    <w:p w14:paraId="468A089B" w14:textId="77777777" w:rsidR="00606116" w:rsidRDefault="00606116">
      <w:pPr>
        <w:pStyle w:val="FootnoteText"/>
      </w:pPr>
      <w:r>
        <w:rPr>
          <w:rStyle w:val="FootnoteReference"/>
        </w:rPr>
        <w:footnoteRef/>
      </w:r>
      <w:r>
        <w:t xml:space="preserve"> Lands Act s 26.</w:t>
      </w:r>
    </w:p>
  </w:footnote>
  <w:footnote w:id="33">
    <w:p w14:paraId="38790417" w14:textId="77777777" w:rsidR="00606116" w:rsidRPr="00406CF9" w:rsidRDefault="00606116" w:rsidP="00E75B59">
      <w:pPr>
        <w:pStyle w:val="FootnoteText"/>
      </w:pPr>
      <w:r>
        <w:rPr>
          <w:rStyle w:val="FootnoteReference"/>
        </w:rPr>
        <w:footnoteRef/>
      </w:r>
      <w:r>
        <w:t xml:space="preserve"> </w:t>
      </w:r>
      <w:bookmarkStart w:id="40" w:name="_Hlk8892035"/>
      <w:r>
        <w:t xml:space="preserve">Madhav Joshi and </w:t>
      </w:r>
      <w:r w:rsidRPr="00406CF9">
        <w:t>T</w:t>
      </w:r>
      <w:r>
        <w:t xml:space="preserve"> David Mason,</w:t>
      </w:r>
      <w:r w:rsidRPr="00406CF9">
        <w:t xml:space="preserve"> </w:t>
      </w:r>
      <w:r>
        <w:t>'Land Tenure, Democracy and Patterns of Violence During the Maoist Insurgence' (2010)</w:t>
      </w:r>
      <w:r w:rsidRPr="00406CF9">
        <w:rPr>
          <w:i/>
        </w:rPr>
        <w:t xml:space="preserve"> </w:t>
      </w:r>
      <w:r>
        <w:t xml:space="preserve">91 </w:t>
      </w:r>
      <w:r w:rsidRPr="00406CF9">
        <w:rPr>
          <w:i/>
        </w:rPr>
        <w:t>Social Science Quarterly</w:t>
      </w:r>
      <w:r>
        <w:rPr>
          <w:i/>
        </w:rPr>
        <w:t xml:space="preserve"> </w:t>
      </w:r>
      <w:r>
        <w:t>984</w:t>
      </w:r>
      <w:bookmarkEnd w:id="40"/>
      <w:r>
        <w:t>, 993–4.</w:t>
      </w:r>
    </w:p>
  </w:footnote>
  <w:footnote w:id="34">
    <w:p w14:paraId="159EC1C5" w14:textId="2FD1C084" w:rsidR="00606116" w:rsidRDefault="00606116" w:rsidP="00E75B59">
      <w:pPr>
        <w:pStyle w:val="FootnoteText"/>
      </w:pPr>
      <w:r>
        <w:rPr>
          <w:rStyle w:val="FootnoteReference"/>
        </w:rPr>
        <w:footnoteRef/>
      </w:r>
      <w:r>
        <w:t xml:space="preserve"> Madhav Joshi and </w:t>
      </w:r>
      <w:r w:rsidRPr="00406CF9">
        <w:t>T</w:t>
      </w:r>
      <w:r>
        <w:t xml:space="preserve"> David Mason,</w:t>
      </w:r>
      <w:r w:rsidRPr="00406CF9">
        <w:t xml:space="preserve"> </w:t>
      </w:r>
      <w:r>
        <w:t>'Land Tenure, Democracy and Patterns of Violence During the Maoist Insurgence' (2010)</w:t>
      </w:r>
      <w:r w:rsidRPr="00406CF9">
        <w:rPr>
          <w:i/>
        </w:rPr>
        <w:t xml:space="preserve"> </w:t>
      </w:r>
      <w:r>
        <w:t xml:space="preserve">91 </w:t>
      </w:r>
      <w:r w:rsidRPr="00406CF9">
        <w:rPr>
          <w:i/>
        </w:rPr>
        <w:t>Social Science Quarterly</w:t>
      </w:r>
      <w:r>
        <w:rPr>
          <w:i/>
        </w:rPr>
        <w:t xml:space="preserve"> </w:t>
      </w:r>
      <w:r>
        <w:t>984, 994.</w:t>
      </w:r>
    </w:p>
  </w:footnote>
  <w:footnote w:id="35">
    <w:p w14:paraId="067C6D20" w14:textId="1CD3422D" w:rsidR="00606116" w:rsidRDefault="00606116" w:rsidP="00E75B59">
      <w:pPr>
        <w:pStyle w:val="FootnoteText"/>
      </w:pPr>
      <w:r>
        <w:rPr>
          <w:rStyle w:val="FootnoteReference"/>
        </w:rPr>
        <w:footnoteRef/>
      </w:r>
      <w:r>
        <w:t xml:space="preserve"> Madhav Joshi and </w:t>
      </w:r>
      <w:r w:rsidRPr="00406CF9">
        <w:t>T</w:t>
      </w:r>
      <w:r>
        <w:t xml:space="preserve"> David Mason,</w:t>
      </w:r>
      <w:r w:rsidRPr="00406CF9">
        <w:t xml:space="preserve"> </w:t>
      </w:r>
      <w:r>
        <w:t>'Land Tenure, Democracy and Patterns of Violence During the Maoist Insurgence' (2010)</w:t>
      </w:r>
      <w:r w:rsidRPr="00406CF9">
        <w:rPr>
          <w:i/>
        </w:rPr>
        <w:t xml:space="preserve"> </w:t>
      </w:r>
      <w:r>
        <w:t xml:space="preserve">91 </w:t>
      </w:r>
      <w:r w:rsidRPr="00406CF9">
        <w:rPr>
          <w:i/>
        </w:rPr>
        <w:t>Social Science Quarterly</w:t>
      </w:r>
      <w:r>
        <w:rPr>
          <w:i/>
        </w:rPr>
        <w:t xml:space="preserve"> </w:t>
      </w:r>
      <w:r>
        <w:t>984, 994.</w:t>
      </w:r>
    </w:p>
  </w:footnote>
  <w:footnote w:id="36">
    <w:p w14:paraId="6E730DD5" w14:textId="6F9E70FE" w:rsidR="00606116" w:rsidRDefault="00606116" w:rsidP="00E75B59">
      <w:pPr>
        <w:pStyle w:val="FootnoteText"/>
      </w:pPr>
      <w:r>
        <w:rPr>
          <w:rStyle w:val="FootnoteReference"/>
        </w:rPr>
        <w:footnoteRef/>
      </w:r>
      <w:r>
        <w:t xml:space="preserve"> Madhav Joshi and </w:t>
      </w:r>
      <w:r w:rsidRPr="00406CF9">
        <w:t>T</w:t>
      </w:r>
      <w:r>
        <w:t xml:space="preserve"> David Mason,</w:t>
      </w:r>
      <w:r w:rsidRPr="00406CF9">
        <w:t xml:space="preserve"> </w:t>
      </w:r>
      <w:r>
        <w:t>'Land Tenure, Democracy and Patterns of Violence During the Maoist Insurgence' (2010)</w:t>
      </w:r>
      <w:r w:rsidRPr="00406CF9">
        <w:rPr>
          <w:i/>
        </w:rPr>
        <w:t xml:space="preserve"> </w:t>
      </w:r>
      <w:r>
        <w:t xml:space="preserve">91 </w:t>
      </w:r>
      <w:r w:rsidRPr="00406CF9">
        <w:rPr>
          <w:i/>
        </w:rPr>
        <w:t>Social Science Quarterly</w:t>
      </w:r>
      <w:r>
        <w:rPr>
          <w:i/>
        </w:rPr>
        <w:t xml:space="preserve"> </w:t>
      </w:r>
      <w:r>
        <w:t>984, 994–5.</w:t>
      </w:r>
    </w:p>
  </w:footnote>
  <w:footnote w:id="37">
    <w:p w14:paraId="4EE6A0D6" w14:textId="77777777" w:rsidR="00606116" w:rsidRDefault="00606116">
      <w:pPr>
        <w:pStyle w:val="FootnoteText"/>
      </w:pPr>
      <w:r>
        <w:rPr>
          <w:rStyle w:val="FootnoteReference"/>
        </w:rPr>
        <w:footnoteRef/>
      </w:r>
      <w:r>
        <w:t xml:space="preserve"> Land Revenue Act s 2(b3) (definition of 'Public land').</w:t>
      </w:r>
    </w:p>
  </w:footnote>
  <w:footnote w:id="38">
    <w:p w14:paraId="00B50059" w14:textId="2C61A667" w:rsidR="00606116" w:rsidRDefault="00606116" w:rsidP="00CE2093">
      <w:pPr>
        <w:pStyle w:val="FootnoteText"/>
      </w:pPr>
      <w:r>
        <w:rPr>
          <w:rStyle w:val="FootnoteReference"/>
        </w:rPr>
        <w:footnoteRef/>
      </w:r>
      <w:r>
        <w:t xml:space="preserve"> Land Revenue Act s 2(b2) (definition of 'Government land').</w:t>
      </w:r>
    </w:p>
  </w:footnote>
  <w:footnote w:id="39">
    <w:p w14:paraId="3ADAF833" w14:textId="77777777" w:rsidR="00606116" w:rsidRDefault="00606116">
      <w:pPr>
        <w:pStyle w:val="FootnoteText"/>
      </w:pPr>
      <w:r>
        <w:rPr>
          <w:rStyle w:val="FootnoteReference"/>
        </w:rPr>
        <w:footnoteRef/>
      </w:r>
      <w:r>
        <w:t xml:space="preserve"> </w:t>
      </w:r>
      <w:r w:rsidRPr="00253D5B">
        <w:t xml:space="preserve">Agathe Nougaret and Ram Danuwar, </w:t>
      </w:r>
      <w:r w:rsidRPr="00FD7306">
        <w:rPr>
          <w:i/>
        </w:rPr>
        <w:t>Housing, Land and Property Issues in Nepal: And their Consequences for the Post-Earthquake Reconstruction process</w:t>
      </w:r>
      <w:r w:rsidRPr="00253D5B">
        <w:t xml:space="preserve"> (2016) 14 &lt;https://insights.careinternational.org.uk/publications/housing-land-and-property-issues-in-nepal-and-their-consequences-for-the-post-earthquake-reconstruction-process&gt;</w:t>
      </w:r>
      <w:r>
        <w:t>.</w:t>
      </w:r>
    </w:p>
  </w:footnote>
  <w:footnote w:id="40">
    <w:p w14:paraId="7D709A43" w14:textId="77777777" w:rsidR="00606116" w:rsidRDefault="00606116">
      <w:pPr>
        <w:pStyle w:val="FootnoteText"/>
      </w:pPr>
      <w:r>
        <w:rPr>
          <w:rStyle w:val="FootnoteReference"/>
        </w:rPr>
        <w:footnoteRef/>
      </w:r>
      <w:r>
        <w:t xml:space="preserve"> Land Acquisition Act s 23.</w:t>
      </w:r>
    </w:p>
  </w:footnote>
  <w:footnote w:id="41">
    <w:p w14:paraId="63DAEA8F" w14:textId="6D7B142A" w:rsidR="00606116" w:rsidRPr="00285AB0" w:rsidRDefault="00606116" w:rsidP="00EB5474">
      <w:pPr>
        <w:pStyle w:val="FootnoteText"/>
      </w:pPr>
      <w:r>
        <w:rPr>
          <w:rStyle w:val="FootnoteReference"/>
        </w:rPr>
        <w:footnoteRef/>
      </w:r>
      <w:r>
        <w:t xml:space="preserve"> </w:t>
      </w:r>
      <w:bookmarkStart w:id="42" w:name="_Hlk8892078"/>
      <w:r>
        <w:t xml:space="preserve">Liz Alden Wily, Devendra Chapagin and Shiva Sharma, </w:t>
      </w:r>
      <w:r w:rsidRPr="002C7615">
        <w:rPr>
          <w:i/>
        </w:rPr>
        <w:t>Land Reform in Nepal:</w:t>
      </w:r>
      <w:r>
        <w:t xml:space="preserve"> </w:t>
      </w:r>
      <w:r>
        <w:rPr>
          <w:i/>
        </w:rPr>
        <w:t xml:space="preserve">Where Is It Coming From and Where Is It Going? </w:t>
      </w:r>
      <w:r>
        <w:t>(April 2009) 9 &lt;</w:t>
      </w:r>
      <w:r w:rsidRPr="002C7615">
        <w:t>https://www.researchgate.net/publication/270956200_SUMMARY_Land_Reform_in_Nepal</w:t>
      </w:r>
      <w:r>
        <w:t>&gt;.</w:t>
      </w:r>
    </w:p>
    <w:bookmarkEnd w:id="42"/>
  </w:footnote>
  <w:footnote w:id="42">
    <w:p w14:paraId="60655148" w14:textId="25C181C0" w:rsidR="00606116" w:rsidRDefault="00606116" w:rsidP="00E75B59">
      <w:pPr>
        <w:pStyle w:val="FootnoteText"/>
      </w:pPr>
      <w:r>
        <w:rPr>
          <w:rStyle w:val="FootnoteReference"/>
        </w:rPr>
        <w:footnoteRef/>
      </w:r>
      <w:r>
        <w:t xml:space="preserve"> </w:t>
      </w:r>
      <w:r w:rsidRPr="00253D5B">
        <w:t xml:space="preserve">Agathe Nougaret and Ram Danuwar, </w:t>
      </w:r>
      <w:r w:rsidRPr="00FD7306">
        <w:rPr>
          <w:i/>
        </w:rPr>
        <w:t>Housing, Land and Property Issues in Nepal: And their Consequences for the Post-Earthquake Reconstruction process</w:t>
      </w:r>
      <w:r w:rsidRPr="00253D5B">
        <w:t xml:space="preserve"> (2016) 14 &lt;https://insights.careinternational.org.uk/publications/housing-land-and-property-issues-in-nepal-and-their-consequences-for-the-post-earthquake-reconstruction-process&gt;</w:t>
      </w:r>
      <w:r>
        <w:t>.</w:t>
      </w:r>
    </w:p>
  </w:footnote>
  <w:footnote w:id="43">
    <w:p w14:paraId="29EC0F20" w14:textId="0B9B6B36" w:rsidR="00606116" w:rsidRDefault="00606116" w:rsidP="00E75B59">
      <w:pPr>
        <w:pStyle w:val="FootnoteText"/>
      </w:pPr>
      <w:r>
        <w:rPr>
          <w:rStyle w:val="FootnoteReference"/>
        </w:rPr>
        <w:footnoteRef/>
      </w:r>
      <w:r>
        <w:t xml:space="preserve"> </w:t>
      </w:r>
      <w:r w:rsidRPr="00253D5B">
        <w:t xml:space="preserve">Agathe Nougaret and Ram Danuwar, </w:t>
      </w:r>
      <w:r w:rsidRPr="00FD7306">
        <w:rPr>
          <w:i/>
        </w:rPr>
        <w:t>Housing, Land and Property Issues in Nepal: And their Consequences for the Post-Earthquake Reconstruction process</w:t>
      </w:r>
      <w:r w:rsidRPr="00253D5B">
        <w:t xml:space="preserve"> (2016) 14 &lt;https://insights.careinternational.org.uk/publications/housing-land-and-property-issues-in-nepal-and-their-consequences-for-the-post-earthquake-reconstruction-process&gt;</w:t>
      </w:r>
      <w:r>
        <w:t>.</w:t>
      </w:r>
    </w:p>
  </w:footnote>
  <w:footnote w:id="44">
    <w:p w14:paraId="600CFB8A" w14:textId="646C9C87" w:rsidR="00606116" w:rsidRDefault="00606116" w:rsidP="00E75B59">
      <w:pPr>
        <w:pStyle w:val="FootnoteText"/>
      </w:pPr>
      <w:r>
        <w:rPr>
          <w:rStyle w:val="FootnoteReference"/>
        </w:rPr>
        <w:footnoteRef/>
      </w:r>
      <w:r>
        <w:t xml:space="preserve"> </w:t>
      </w:r>
      <w:r w:rsidRPr="00253D5B">
        <w:t xml:space="preserve">Agathe Nougaret and Ram Danuwar, </w:t>
      </w:r>
      <w:r w:rsidRPr="00FD7306">
        <w:rPr>
          <w:i/>
        </w:rPr>
        <w:t>Housing, Land and Property Issues in Nepal: And their Consequences for the Post-Earthquake Reconstruction process</w:t>
      </w:r>
      <w:r w:rsidRPr="00253D5B">
        <w:t xml:space="preserve"> (2016) 14 &lt;https://insights.careinternational.org.uk/publications/housing-land-and-property-issues-in-nepal-and-their-consequences-for-the-post-earthquake-reconstruction-process&gt;</w:t>
      </w:r>
      <w:r>
        <w:t>.</w:t>
      </w:r>
    </w:p>
  </w:footnote>
  <w:footnote w:id="45">
    <w:p w14:paraId="6D1AD0D2" w14:textId="2E02995F" w:rsidR="00606116" w:rsidRDefault="00606116">
      <w:pPr>
        <w:pStyle w:val="FootnoteText"/>
      </w:pPr>
      <w:r>
        <w:rPr>
          <w:rStyle w:val="FootnoteReference"/>
        </w:rPr>
        <w:footnoteRef/>
      </w:r>
      <w:r>
        <w:t xml:space="preserve"> Lands Act s 21B; Land Revenue Act ch 3.</w:t>
      </w:r>
    </w:p>
  </w:footnote>
  <w:footnote w:id="46">
    <w:p w14:paraId="38C9F383" w14:textId="77777777" w:rsidR="00606116" w:rsidRDefault="00606116">
      <w:pPr>
        <w:pStyle w:val="FootnoteText"/>
      </w:pPr>
      <w:r>
        <w:rPr>
          <w:rStyle w:val="FootnoteReference"/>
        </w:rPr>
        <w:footnoteRef/>
      </w:r>
      <w:r>
        <w:t xml:space="preserve"> Land Acquisition Act s 23.</w:t>
      </w:r>
    </w:p>
  </w:footnote>
  <w:footnote w:id="47">
    <w:p w14:paraId="368FBFBB" w14:textId="34C28E81" w:rsidR="00606116" w:rsidRDefault="00606116">
      <w:pPr>
        <w:pStyle w:val="FootnoteText"/>
      </w:pPr>
      <w:r>
        <w:rPr>
          <w:rStyle w:val="FootnoteReference"/>
        </w:rPr>
        <w:footnoteRef/>
      </w:r>
      <w:r>
        <w:t xml:space="preserve"> </w:t>
      </w:r>
      <w:r w:rsidRPr="00A76DF6">
        <w:t xml:space="preserve">Babu Ram Acharya, </w:t>
      </w:r>
      <w:r w:rsidRPr="00FD7306">
        <w:rPr>
          <w:i/>
        </w:rPr>
        <w:t>Land Tenure and Land Registration in Nepal</w:t>
      </w:r>
      <w:r w:rsidRPr="00A76DF6">
        <w:t xml:space="preserve"> (June 2008) </w:t>
      </w:r>
      <w:r>
        <w:t>6</w:t>
      </w:r>
      <w:r w:rsidRPr="00A76DF6">
        <w:t xml:space="preserve"> &lt;http://www.fig.net/resources/proceedings/fig_proceedings/fig2008/papers/ts07b/ts07b_02_acharya_2747.pdf&gt;</w:t>
      </w:r>
      <w:r>
        <w:t>.</w:t>
      </w:r>
    </w:p>
  </w:footnote>
  <w:footnote w:id="48">
    <w:p w14:paraId="43BB4C4A" w14:textId="3D6F48A2" w:rsidR="00606116" w:rsidRDefault="00606116">
      <w:pPr>
        <w:pStyle w:val="FootnoteText"/>
      </w:pPr>
      <w:r>
        <w:rPr>
          <w:rStyle w:val="FootnoteReference"/>
        </w:rPr>
        <w:footnoteRef/>
      </w:r>
      <w:r>
        <w:t xml:space="preserve"> </w:t>
      </w:r>
      <w:r w:rsidRPr="00A76DF6">
        <w:t xml:space="preserve">Agathe Nougaret and Ram Danuwar, </w:t>
      </w:r>
      <w:r w:rsidRPr="00FD7306">
        <w:rPr>
          <w:i/>
        </w:rPr>
        <w:t>Housing, Land and Property Issues in Nepal: And their Consequences for the Post-Earthquake Reconstruction process</w:t>
      </w:r>
      <w:r w:rsidRPr="00A76DF6">
        <w:t xml:space="preserve"> (2016) 1</w:t>
      </w:r>
      <w:r>
        <w:t>0</w:t>
      </w:r>
      <w:r w:rsidRPr="00A76DF6">
        <w:t xml:space="preserve"> &lt;https://insights.careinternational.org.uk/publications/housing-land-and-property-issues-in-nepal-and-their-consequences-for-the-post-earthquake-reconstruction-process&gt;</w:t>
      </w:r>
      <w:r>
        <w:t>.</w:t>
      </w:r>
    </w:p>
  </w:footnote>
  <w:footnote w:id="49">
    <w:p w14:paraId="036A872E" w14:textId="35259A85" w:rsidR="00606116" w:rsidRDefault="00606116">
      <w:pPr>
        <w:pStyle w:val="FootnoteText"/>
      </w:pPr>
      <w:r>
        <w:rPr>
          <w:rStyle w:val="FootnoteReference"/>
        </w:rPr>
        <w:footnoteRef/>
      </w:r>
      <w:r>
        <w:t xml:space="preserve"> </w:t>
      </w:r>
      <w:bookmarkStart w:id="45" w:name="_Hlk8892185"/>
      <w:r>
        <w:t xml:space="preserve">International Federation of the Red Cross, </w:t>
      </w:r>
      <w:r w:rsidRPr="00FD7306">
        <w:rPr>
          <w:i/>
        </w:rPr>
        <w:t>Regulatory Barriers to Providing Emergency and Transitional Shelter after Disasters, Country Case Study: Nepal</w:t>
      </w:r>
      <w:r>
        <w:t xml:space="preserve"> (2014) 17</w:t>
      </w:r>
      <w:bookmarkEnd w:id="45"/>
      <w:r>
        <w:t>.</w:t>
      </w:r>
    </w:p>
  </w:footnote>
  <w:footnote w:id="50">
    <w:p w14:paraId="28D0B073" w14:textId="19838377" w:rsidR="00606116" w:rsidRDefault="00606116">
      <w:pPr>
        <w:pStyle w:val="FootnoteText"/>
      </w:pPr>
      <w:r>
        <w:rPr>
          <w:rStyle w:val="FootnoteReference"/>
        </w:rPr>
        <w:footnoteRef/>
      </w:r>
      <w:r>
        <w:t xml:space="preserve"> International Federation of the Red Cross, </w:t>
      </w:r>
      <w:r w:rsidRPr="00FD7306">
        <w:rPr>
          <w:i/>
        </w:rPr>
        <w:t>Regulatory Barriers to Providing Emergency and Transitional Shelter after Disasters, Country Case Study: Nepal</w:t>
      </w:r>
      <w:r>
        <w:t xml:space="preserve"> (2014) 17.</w:t>
      </w:r>
    </w:p>
  </w:footnote>
  <w:footnote w:id="51">
    <w:p w14:paraId="690E0337" w14:textId="129B64B7" w:rsidR="00606116" w:rsidRDefault="00606116">
      <w:pPr>
        <w:pStyle w:val="FootnoteText"/>
      </w:pPr>
      <w:r>
        <w:rPr>
          <w:rStyle w:val="FootnoteReference"/>
        </w:rPr>
        <w:footnoteRef/>
      </w:r>
      <w:r>
        <w:t xml:space="preserve"> See section </w:t>
      </w:r>
      <w:r>
        <w:fldChar w:fldCharType="begin"/>
      </w:r>
      <w:r>
        <w:instrText xml:space="preserve"> REF _Ref8811916 \r \h </w:instrText>
      </w:r>
      <w:r>
        <w:fldChar w:fldCharType="separate"/>
      </w:r>
      <w:r>
        <w:t>2.1(b)</w:t>
      </w:r>
      <w:r>
        <w:fldChar w:fldCharType="end"/>
      </w:r>
      <w:r>
        <w:t xml:space="preserve"> above.</w:t>
      </w:r>
    </w:p>
  </w:footnote>
  <w:footnote w:id="52">
    <w:p w14:paraId="599E5435" w14:textId="77777777" w:rsidR="00606116" w:rsidRDefault="00606116">
      <w:pPr>
        <w:pStyle w:val="FootnoteText"/>
      </w:pPr>
      <w:r>
        <w:rPr>
          <w:rStyle w:val="FootnoteReference"/>
        </w:rPr>
        <w:footnoteRef/>
      </w:r>
      <w:r>
        <w:t xml:space="preserve"> Madhav Joshi and </w:t>
      </w:r>
      <w:r w:rsidRPr="00406CF9">
        <w:t>T</w:t>
      </w:r>
      <w:r>
        <w:t xml:space="preserve"> David Mason,</w:t>
      </w:r>
      <w:r w:rsidRPr="00406CF9">
        <w:t xml:space="preserve"> </w:t>
      </w:r>
      <w:r>
        <w:t>'Land Tenure, Democracy and Patterns of Violence During the Maoist Insurgence' (2010)</w:t>
      </w:r>
      <w:r w:rsidRPr="00406CF9">
        <w:rPr>
          <w:i/>
        </w:rPr>
        <w:t xml:space="preserve"> </w:t>
      </w:r>
      <w:r>
        <w:t xml:space="preserve">91 </w:t>
      </w:r>
      <w:r w:rsidRPr="00406CF9">
        <w:rPr>
          <w:i/>
        </w:rPr>
        <w:t>Social Science Quarterly</w:t>
      </w:r>
      <w:r>
        <w:rPr>
          <w:i/>
        </w:rPr>
        <w:t xml:space="preserve"> </w:t>
      </w:r>
      <w:r>
        <w:t>984, 993–6.</w:t>
      </w:r>
    </w:p>
  </w:footnote>
  <w:footnote w:id="53">
    <w:p w14:paraId="2A115F6E" w14:textId="7432874E" w:rsidR="00606116" w:rsidRDefault="00606116">
      <w:pPr>
        <w:pStyle w:val="FootnoteText"/>
      </w:pPr>
      <w:r>
        <w:rPr>
          <w:rStyle w:val="FootnoteReference"/>
        </w:rPr>
        <w:footnoteRef/>
      </w:r>
      <w:r>
        <w:t xml:space="preserve"> </w:t>
      </w:r>
      <w:r w:rsidRPr="00A76DF6">
        <w:t xml:space="preserve">Agathe Nougaret and Ram Danuwar, </w:t>
      </w:r>
      <w:r w:rsidRPr="00FD7306">
        <w:rPr>
          <w:i/>
        </w:rPr>
        <w:t>Housing, Land and Property Issues in Nepal: And their Consequences for the Post-Earthquake Reconstruction process</w:t>
      </w:r>
      <w:r w:rsidRPr="00A76DF6">
        <w:t xml:space="preserve"> (2016) 1</w:t>
      </w:r>
      <w:r>
        <w:t>0</w:t>
      </w:r>
      <w:r w:rsidRPr="00A76DF6">
        <w:t xml:space="preserve"> &lt;https://insights.careinternational.org.uk/publications/housing-land-and-property-issues-in-nepal-and-their-consequences-for-the-post-earthquake-reconstruction-process&gt;</w:t>
      </w:r>
      <w:r>
        <w:t xml:space="preserve">; International Federation of the Red Cross, </w:t>
      </w:r>
      <w:r w:rsidRPr="00FD7306">
        <w:rPr>
          <w:i/>
        </w:rPr>
        <w:t>Regulatory Barriers to Providing Emergency and Transitional Shelter after Disasters, Country Case Study: Nepal</w:t>
      </w:r>
      <w:r>
        <w:t xml:space="preserve"> (2014) 17.</w:t>
      </w:r>
    </w:p>
  </w:footnote>
  <w:footnote w:id="54">
    <w:p w14:paraId="7786C132" w14:textId="517DA6A2" w:rsidR="00606116" w:rsidRDefault="00606116">
      <w:pPr>
        <w:pStyle w:val="FootnoteText"/>
      </w:pPr>
      <w:r>
        <w:rPr>
          <w:rStyle w:val="FootnoteReference"/>
        </w:rPr>
        <w:footnoteRef/>
      </w:r>
      <w:r>
        <w:t xml:space="preserve"> </w:t>
      </w:r>
      <w:r w:rsidRPr="00A76DF6">
        <w:t xml:space="preserve">Agathe Nougaret and Ram Danuwar, </w:t>
      </w:r>
      <w:r w:rsidRPr="00FD7306">
        <w:rPr>
          <w:i/>
        </w:rPr>
        <w:t>Housing, Land and Property Issues in Nepal: And their Consequences for the Post-Earthquake Reconstruction process</w:t>
      </w:r>
      <w:r w:rsidRPr="00A76DF6">
        <w:t xml:space="preserve"> (2016) 1</w:t>
      </w:r>
      <w:r>
        <w:t>0</w:t>
      </w:r>
      <w:r w:rsidRPr="00A76DF6">
        <w:t xml:space="preserve"> &lt;https://insights.careinternational.org.uk/publications/housing-land-and-property-issues-in-nepal-and-their-consequences-for-the-post-earthquake-reconstruction-process&gt;</w:t>
      </w:r>
      <w:r>
        <w:t>.</w:t>
      </w:r>
    </w:p>
  </w:footnote>
  <w:footnote w:id="55">
    <w:p w14:paraId="07AE8AE3" w14:textId="1AB84CBA" w:rsidR="00606116" w:rsidRDefault="00606116">
      <w:pPr>
        <w:pStyle w:val="FootnoteText"/>
      </w:pPr>
      <w:r>
        <w:rPr>
          <w:rStyle w:val="FootnoteReference"/>
        </w:rPr>
        <w:footnoteRef/>
      </w:r>
      <w:r>
        <w:t xml:space="preserve"> International Federation of the Red Cross, </w:t>
      </w:r>
      <w:r w:rsidRPr="00FD7306">
        <w:rPr>
          <w:i/>
        </w:rPr>
        <w:t>Regulatory Barriers to Providing Emergency and Transitional Shelter after Disasters, Country Case Study: Nepal</w:t>
      </w:r>
      <w:r>
        <w:t xml:space="preserve"> (2014) 18–19.</w:t>
      </w:r>
    </w:p>
  </w:footnote>
  <w:footnote w:id="56">
    <w:p w14:paraId="4E12D359" w14:textId="2B64386A" w:rsidR="00606116" w:rsidRDefault="00606116">
      <w:pPr>
        <w:pStyle w:val="FootnoteText"/>
      </w:pPr>
      <w:r>
        <w:rPr>
          <w:rStyle w:val="FootnoteReference"/>
        </w:rPr>
        <w:footnoteRef/>
      </w:r>
      <w:r>
        <w:t xml:space="preserve"> International Federation of the Red Cross, </w:t>
      </w:r>
      <w:r w:rsidRPr="00FD7306">
        <w:rPr>
          <w:i/>
        </w:rPr>
        <w:t>Regulatory Barriers to Providing Emergency and Transitional Shelter after Disasters, Country Case Study: Nepal</w:t>
      </w:r>
      <w:r>
        <w:t xml:space="preserve"> (2014) 19.</w:t>
      </w:r>
    </w:p>
  </w:footnote>
  <w:footnote w:id="57">
    <w:p w14:paraId="4342CF9A" w14:textId="670AB02E" w:rsidR="00606116" w:rsidRDefault="00606116" w:rsidP="00AA7259">
      <w:pPr>
        <w:pStyle w:val="FootnoteText"/>
      </w:pPr>
      <w:r w:rsidRPr="002E2E96">
        <w:rPr>
          <w:rStyle w:val="FootnoteReference"/>
        </w:rPr>
        <w:footnoteRef/>
      </w:r>
      <w:r w:rsidRPr="002E2E96">
        <w:t xml:space="preserve"> </w:t>
      </w:r>
      <w:r w:rsidRPr="0088450E">
        <w:t xml:space="preserve">Liz Alden Wily, Devendra Chapagin and Shiva Sharma, </w:t>
      </w:r>
      <w:r w:rsidRPr="00FD7306">
        <w:rPr>
          <w:i/>
        </w:rPr>
        <w:t>Land Reform in Nepal: Where Is It Coming From and Where Is It Going?</w:t>
      </w:r>
      <w:r w:rsidRPr="0088450E">
        <w:t xml:space="preserve"> (April 2009) </w:t>
      </w:r>
      <w:r>
        <w:t>20</w:t>
      </w:r>
      <w:r w:rsidRPr="0088450E">
        <w:t xml:space="preserve"> &lt;https://www.researchgate.net/publication/270956200_SUMMARY_Land_Reform_in_Nepal&gt;</w:t>
      </w:r>
      <w:r w:rsidRPr="002E2E96">
        <w:t>.</w:t>
      </w:r>
    </w:p>
  </w:footnote>
  <w:footnote w:id="58">
    <w:p w14:paraId="752331B7" w14:textId="6C542CED" w:rsidR="00606116" w:rsidRDefault="00606116">
      <w:pPr>
        <w:pStyle w:val="FootnoteText"/>
      </w:pPr>
      <w:r>
        <w:rPr>
          <w:rStyle w:val="FootnoteReference"/>
        </w:rPr>
        <w:footnoteRef/>
      </w:r>
      <w:r>
        <w:t xml:space="preserve"> </w:t>
      </w:r>
      <w:r w:rsidRPr="0088450E">
        <w:t xml:space="preserve">Liz Alden Wily, Devendra Chapagin and Shiva Sharma, </w:t>
      </w:r>
      <w:r w:rsidRPr="00FD7306">
        <w:rPr>
          <w:i/>
        </w:rPr>
        <w:t>Land Reform in Nepal: Where Is It Coming From and Where Is It Going?</w:t>
      </w:r>
      <w:r w:rsidRPr="0088450E">
        <w:t xml:space="preserve"> (April 2009) </w:t>
      </w:r>
      <w:r>
        <w:t>31</w:t>
      </w:r>
      <w:r w:rsidRPr="0088450E">
        <w:t xml:space="preserve"> &lt;https://www.researchgate.net/publication/270956200_SUMMARY_Land_Reform_in_Nepal&gt;</w:t>
      </w:r>
      <w:r>
        <w:t>.</w:t>
      </w:r>
    </w:p>
  </w:footnote>
  <w:footnote w:id="59">
    <w:p w14:paraId="62373376" w14:textId="31DC1B23" w:rsidR="00606116" w:rsidRDefault="00606116">
      <w:pPr>
        <w:pStyle w:val="FootnoteText"/>
      </w:pPr>
      <w:r>
        <w:rPr>
          <w:rStyle w:val="FootnoteReference"/>
        </w:rPr>
        <w:footnoteRef/>
      </w:r>
      <w:r>
        <w:t xml:space="preserve"> </w:t>
      </w:r>
      <w:r w:rsidRPr="0088450E">
        <w:t xml:space="preserve">Liz Alden Wily, Devendra Chapagin and Shiva Sharma, </w:t>
      </w:r>
      <w:r w:rsidRPr="00FD7306">
        <w:rPr>
          <w:i/>
        </w:rPr>
        <w:t>Land Reform in Nepal: Where Is It Coming From and Where Is It Going?</w:t>
      </w:r>
      <w:r w:rsidRPr="0088450E">
        <w:t xml:space="preserve"> (April 2009) </w:t>
      </w:r>
      <w:r>
        <w:t>29</w:t>
      </w:r>
      <w:r w:rsidRPr="0088450E">
        <w:t xml:space="preserve"> &lt;https://www.researchgate.net/publication/270956200_SUMMARY_Land_Reform_in_Nepal&gt;</w:t>
      </w:r>
      <w:r>
        <w:t>.</w:t>
      </w:r>
    </w:p>
  </w:footnote>
  <w:footnote w:id="60">
    <w:p w14:paraId="7ABE2AFA" w14:textId="7A486DF9" w:rsidR="00606116" w:rsidRDefault="00606116">
      <w:pPr>
        <w:pStyle w:val="FootnoteText"/>
      </w:pPr>
      <w:r>
        <w:rPr>
          <w:rStyle w:val="FootnoteReference"/>
        </w:rPr>
        <w:footnoteRef/>
      </w:r>
      <w:r>
        <w:t xml:space="preserve"> </w:t>
      </w:r>
      <w:r w:rsidRPr="0088450E">
        <w:t xml:space="preserve">Liz Alden Wily, Devendra Chapagin and Shiva Sharma, </w:t>
      </w:r>
      <w:r w:rsidRPr="00FD7306">
        <w:rPr>
          <w:i/>
        </w:rPr>
        <w:t>Land Reform in Nepal: Where Is It Coming From and Where Is It Going?</w:t>
      </w:r>
      <w:r w:rsidRPr="0088450E">
        <w:t xml:space="preserve"> (April 2009) </w:t>
      </w:r>
      <w:r>
        <w:t>20</w:t>
      </w:r>
      <w:r w:rsidRPr="0088450E">
        <w:t xml:space="preserve"> &lt;https://www.researchgate.net/publication/270956200_SUMMARY_Land_Reform_in_Nepal&gt;</w:t>
      </w:r>
      <w:r>
        <w:t>.</w:t>
      </w:r>
    </w:p>
  </w:footnote>
  <w:footnote w:id="61">
    <w:p w14:paraId="6C83B559" w14:textId="77777777" w:rsidR="00606116" w:rsidRDefault="00606116" w:rsidP="00DE7C62">
      <w:pPr>
        <w:pStyle w:val="FootnoteText"/>
        <w:ind w:left="720" w:hanging="720"/>
      </w:pPr>
      <w:r>
        <w:rPr>
          <w:rStyle w:val="FootnoteReference"/>
        </w:rPr>
        <w:footnoteRef/>
      </w:r>
      <w:r>
        <w:t xml:space="preserve"> </w:t>
      </w:r>
      <w:bookmarkStart w:id="47" w:name="_Hlk8892504"/>
      <w:r>
        <w:t xml:space="preserve">Government of Nepal, </w:t>
      </w:r>
      <w:r w:rsidRPr="0021718F">
        <w:rPr>
          <w:i/>
        </w:rPr>
        <w:t>Ministry of Agriculture, Land Management and Cooperatives</w:t>
      </w:r>
      <w:r>
        <w:t xml:space="preserve"> (2018) &lt;</w:t>
      </w:r>
      <w:r w:rsidRPr="0021718F">
        <w:t>http://www.molrm.gov.np/index.php</w:t>
      </w:r>
      <w:r>
        <w:t>&gt;.</w:t>
      </w:r>
    </w:p>
    <w:bookmarkEnd w:id="47"/>
  </w:footnote>
  <w:footnote w:id="62">
    <w:p w14:paraId="13D11357" w14:textId="13DEDD7C" w:rsidR="00606116" w:rsidRPr="00FD7306" w:rsidRDefault="00606116">
      <w:pPr>
        <w:pStyle w:val="FootnoteText"/>
        <w:rPr>
          <w:rFonts w:ascii="AngsanaUPC" w:hAnsi="AngsanaUPC"/>
          <w:lang w:val="en-US"/>
        </w:rPr>
      </w:pPr>
      <w:r>
        <w:rPr>
          <w:rStyle w:val="FootnoteReference"/>
        </w:rPr>
        <w:footnoteRef/>
      </w:r>
      <w:r>
        <w:t xml:space="preserve"> </w:t>
      </w:r>
      <w:r w:rsidRPr="00FD7306">
        <w:t>Local Government Act</w:t>
      </w:r>
      <w:r>
        <w:rPr>
          <w:i/>
        </w:rPr>
        <w:t xml:space="preserve"> </w:t>
      </w:r>
      <w:r>
        <w:rPr>
          <w:lang w:val="en-US"/>
        </w:rPr>
        <w:t>s 11(n).</w:t>
      </w:r>
    </w:p>
  </w:footnote>
  <w:footnote w:id="63">
    <w:p w14:paraId="56DFBBC2" w14:textId="4E1CF9A3" w:rsidR="00606116" w:rsidRDefault="00606116">
      <w:pPr>
        <w:pStyle w:val="FootnoteText"/>
      </w:pPr>
      <w:r>
        <w:rPr>
          <w:rStyle w:val="FootnoteReference"/>
        </w:rPr>
        <w:footnoteRef/>
      </w:r>
      <w:r>
        <w:t xml:space="preserve"> </w:t>
      </w:r>
      <w:r w:rsidRPr="00FD7306">
        <w:t>Local Government Act s 97.</w:t>
      </w:r>
      <w:r>
        <w:t xml:space="preserve"> </w:t>
      </w:r>
    </w:p>
  </w:footnote>
  <w:footnote w:id="64">
    <w:p w14:paraId="6032E26F" w14:textId="77777777" w:rsidR="00606116" w:rsidRDefault="00606116">
      <w:pPr>
        <w:pStyle w:val="FootnoteText"/>
      </w:pPr>
      <w:r>
        <w:rPr>
          <w:rStyle w:val="FootnoteReference"/>
        </w:rPr>
        <w:footnoteRef/>
      </w:r>
      <w:r>
        <w:t xml:space="preserve"> </w:t>
      </w:r>
      <w:bookmarkStart w:id="49" w:name="_Hlk8892520"/>
      <w:r>
        <w:t xml:space="preserve">Land Portal, </w:t>
      </w:r>
      <w:r>
        <w:rPr>
          <w:i/>
        </w:rPr>
        <w:t xml:space="preserve">National Land Rights Forum – Nepal </w:t>
      </w:r>
      <w:r w:rsidRPr="0021718F">
        <w:t>&lt;</w:t>
      </w:r>
      <w:r w:rsidRPr="00780AFF">
        <w:t>https://landportal.org/organization/national-land-rights-forum-nepal</w:t>
      </w:r>
      <w:r>
        <w:t>&gt;.</w:t>
      </w:r>
      <w:bookmarkEnd w:id="49"/>
    </w:p>
  </w:footnote>
  <w:footnote w:id="65">
    <w:p w14:paraId="1B2597D0" w14:textId="77777777" w:rsidR="00606116" w:rsidRDefault="00606116">
      <w:pPr>
        <w:pStyle w:val="FootnoteText"/>
      </w:pPr>
      <w:r>
        <w:rPr>
          <w:rStyle w:val="FootnoteReference"/>
        </w:rPr>
        <w:footnoteRef/>
      </w:r>
      <w:r>
        <w:t xml:space="preserve"> </w:t>
      </w:r>
      <w:bookmarkStart w:id="50" w:name="_Hlk8892533"/>
      <w:r>
        <w:t xml:space="preserve">National Land Rights Forum, Nepal, </w:t>
      </w:r>
      <w:r>
        <w:rPr>
          <w:i/>
        </w:rPr>
        <w:t>About Us</w:t>
      </w:r>
      <w:r>
        <w:t xml:space="preserve"> (2018) &lt;</w:t>
      </w:r>
      <w:r w:rsidRPr="00780AFF">
        <w:t>http://www.nlrfnepal.org/nlrf</w:t>
      </w:r>
      <w:r>
        <w:t>&gt;.</w:t>
      </w:r>
    </w:p>
    <w:bookmarkEnd w:id="50"/>
  </w:footnote>
  <w:footnote w:id="66">
    <w:p w14:paraId="0C3DD817" w14:textId="77777777" w:rsidR="00606116" w:rsidRPr="00AA7259" w:rsidRDefault="00606116" w:rsidP="00AA7259">
      <w:pPr>
        <w:pStyle w:val="FootnoteText"/>
        <w:rPr>
          <w:rFonts w:cs="Arial"/>
          <w:szCs w:val="16"/>
        </w:rPr>
      </w:pPr>
      <w:r>
        <w:rPr>
          <w:rStyle w:val="FootnoteReference"/>
        </w:rPr>
        <w:footnoteRef/>
      </w:r>
      <w:r>
        <w:t xml:space="preserve"> Land </w:t>
      </w:r>
      <w:r w:rsidRPr="00AA7259">
        <w:rPr>
          <w:rFonts w:cs="Arial"/>
          <w:szCs w:val="16"/>
        </w:rPr>
        <w:t xml:space="preserve">Portal, </w:t>
      </w:r>
      <w:r w:rsidRPr="00AA7259">
        <w:rPr>
          <w:rFonts w:cs="Arial"/>
          <w:i/>
          <w:szCs w:val="16"/>
        </w:rPr>
        <w:t xml:space="preserve">National Land Rights Forum – Nepal </w:t>
      </w:r>
      <w:r w:rsidRPr="00AA7259">
        <w:rPr>
          <w:rFonts w:cs="Arial"/>
          <w:szCs w:val="16"/>
        </w:rPr>
        <w:t>&lt;https://landportal.org/organization/national-land-rights-forum-nepal&gt;.</w:t>
      </w:r>
    </w:p>
  </w:footnote>
  <w:footnote w:id="67">
    <w:p w14:paraId="3B978F72" w14:textId="77777777"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51" w:name="_Hlk8892560"/>
      <w:r w:rsidRPr="00AA7259">
        <w:rPr>
          <w:rFonts w:cs="Arial"/>
          <w:szCs w:val="16"/>
        </w:rPr>
        <w:t xml:space="preserve">Lumanti, </w:t>
      </w:r>
      <w:r w:rsidRPr="00AA7259">
        <w:rPr>
          <w:rFonts w:cs="Arial"/>
          <w:i/>
          <w:szCs w:val="16"/>
        </w:rPr>
        <w:t>Lumanti: Support Group for Shelter</w:t>
      </w:r>
      <w:r w:rsidRPr="00AA7259">
        <w:rPr>
          <w:rFonts w:cs="Arial"/>
          <w:szCs w:val="16"/>
        </w:rPr>
        <w:t xml:space="preserve"> (2016) &lt;http://lumanti.org.np&gt;.</w:t>
      </w:r>
    </w:p>
    <w:bookmarkEnd w:id="51"/>
  </w:footnote>
  <w:footnote w:id="68">
    <w:p w14:paraId="4066DEE2" w14:textId="48A1C618"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sidRPr="000D6B6E">
        <w:rPr>
          <w:rFonts w:cs="Arial"/>
          <w:szCs w:val="16"/>
        </w:rPr>
        <w:t xml:space="preserve">Agathe Nougaret and Ram Danuwar, </w:t>
      </w:r>
      <w:r w:rsidRPr="00FD7306">
        <w:rPr>
          <w:rFonts w:cs="Arial"/>
          <w:i/>
          <w:szCs w:val="16"/>
        </w:rPr>
        <w:t>Housing, Land and Property Issues in Nepal: And their Consequences for the Post-Earthquake Reconstruction process</w:t>
      </w:r>
      <w:r w:rsidRPr="000D6B6E">
        <w:rPr>
          <w:rFonts w:cs="Arial"/>
          <w:szCs w:val="16"/>
        </w:rPr>
        <w:t xml:space="preserve"> (2016) 1</w:t>
      </w:r>
      <w:r>
        <w:rPr>
          <w:rFonts w:cs="Arial"/>
          <w:szCs w:val="16"/>
        </w:rPr>
        <w:t xml:space="preserve">3 </w:t>
      </w:r>
      <w:r w:rsidRPr="000D6B6E">
        <w:rPr>
          <w:rFonts w:cs="Arial"/>
          <w:szCs w:val="16"/>
        </w:rPr>
        <w:t>&lt;https://insights.careinternational.org.uk/publications/housing-land-and-property-issues-in-nepal-and-their-consequences-for-the-post-earthquake-reconstruction-process&gt;</w:t>
      </w:r>
      <w:r w:rsidRPr="00AA7259">
        <w:rPr>
          <w:rFonts w:cs="Arial"/>
          <w:szCs w:val="16"/>
        </w:rPr>
        <w:t>.</w:t>
      </w:r>
    </w:p>
  </w:footnote>
  <w:footnote w:id="69">
    <w:p w14:paraId="45814F1B" w14:textId="77777777"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53" w:name="_Hlk8892576"/>
      <w:r w:rsidRPr="00AA7259">
        <w:rPr>
          <w:rFonts w:cs="Arial"/>
          <w:szCs w:val="16"/>
        </w:rPr>
        <w:t xml:space="preserve">Forum for Women, Law and Development, </w:t>
      </w:r>
      <w:r w:rsidRPr="00AA7259">
        <w:rPr>
          <w:rFonts w:cs="Arial"/>
          <w:i/>
          <w:szCs w:val="16"/>
        </w:rPr>
        <w:t xml:space="preserve">Vision/Mission </w:t>
      </w:r>
      <w:r w:rsidRPr="00AA7259">
        <w:rPr>
          <w:rFonts w:cs="Arial"/>
          <w:szCs w:val="16"/>
        </w:rPr>
        <w:t>(2018) &lt;http://fwld.org/vision-mission&gt;.</w:t>
      </w:r>
      <w:bookmarkEnd w:id="53"/>
    </w:p>
  </w:footnote>
  <w:footnote w:id="70">
    <w:p w14:paraId="04FEC852" w14:textId="51A6C6CF" w:rsidR="00606116" w:rsidRPr="008C587D" w:rsidRDefault="00606116">
      <w:pPr>
        <w:pStyle w:val="FootnoteText"/>
        <w:rPr>
          <w:rFonts w:cs="Arial"/>
          <w:szCs w:val="16"/>
        </w:rPr>
      </w:pPr>
      <w:r>
        <w:rPr>
          <w:rStyle w:val="FootnoteReference"/>
        </w:rPr>
        <w:footnoteRef/>
      </w:r>
      <w:r>
        <w:t xml:space="preserve"> </w:t>
      </w:r>
      <w:r>
        <w:rPr>
          <w:rFonts w:cs="Arial"/>
          <w:szCs w:val="16"/>
        </w:rPr>
        <w:t xml:space="preserve">A </w:t>
      </w:r>
      <w:r w:rsidRPr="008C587D">
        <w:rPr>
          <w:rFonts w:cs="Arial"/>
          <w:szCs w:val="16"/>
        </w:rPr>
        <w:t>Permanent Account Number</w:t>
      </w:r>
      <w:r>
        <w:rPr>
          <w:rFonts w:cs="Arial"/>
          <w:szCs w:val="16"/>
        </w:rPr>
        <w:t xml:space="preserve"> (PAN</w:t>
      </w:r>
      <w:r w:rsidRPr="008C587D">
        <w:rPr>
          <w:rFonts w:cs="Arial"/>
          <w:szCs w:val="16"/>
        </w:rPr>
        <w:t>) is a unique identification number issued to all taxpayers</w:t>
      </w:r>
      <w:r>
        <w:rPr>
          <w:rFonts w:cs="Arial"/>
          <w:szCs w:val="16"/>
        </w:rPr>
        <w:t xml:space="preserve"> in Nepal.</w:t>
      </w:r>
    </w:p>
  </w:footnote>
  <w:footnote w:id="71">
    <w:p w14:paraId="6C1B55BE" w14:textId="77777777" w:rsidR="00606116" w:rsidRPr="005B7AED" w:rsidRDefault="00606116">
      <w:pPr>
        <w:pStyle w:val="FootnoteText"/>
      </w:pPr>
      <w:r>
        <w:rPr>
          <w:rStyle w:val="FootnoteReference"/>
        </w:rPr>
        <w:footnoteRef/>
      </w:r>
      <w:r>
        <w:t xml:space="preserve"> </w:t>
      </w:r>
      <w:r w:rsidRPr="00FD7306">
        <w:t>Land Survey Act</w:t>
      </w:r>
      <w:r>
        <w:rPr>
          <w:i/>
        </w:rPr>
        <w:t xml:space="preserve"> </w:t>
      </w:r>
      <w:r>
        <w:t>s 8.</w:t>
      </w:r>
    </w:p>
  </w:footnote>
  <w:footnote w:id="72">
    <w:p w14:paraId="6FB55128" w14:textId="7DBCD30B"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59" w:name="_Hlk8892590"/>
      <w:r w:rsidRPr="00AA7259">
        <w:rPr>
          <w:rFonts w:cs="Arial"/>
          <w:szCs w:val="16"/>
        </w:rPr>
        <w:t>Lawyers' Association for Human Rights of Nepalese Indigenous Peoples et al (</w:t>
      </w:r>
      <w:r w:rsidRPr="00AA7259">
        <w:rPr>
          <w:rFonts w:cs="Arial"/>
          <w:b/>
          <w:i/>
          <w:szCs w:val="16"/>
        </w:rPr>
        <w:t>LAHURNIP</w:t>
      </w:r>
      <w:r w:rsidRPr="00AA7259">
        <w:rPr>
          <w:rFonts w:cs="Arial"/>
          <w:szCs w:val="16"/>
        </w:rPr>
        <w:t xml:space="preserve">), </w:t>
      </w:r>
      <w:r w:rsidRPr="00AA7259">
        <w:rPr>
          <w:rFonts w:cs="Arial"/>
          <w:i/>
          <w:szCs w:val="16"/>
        </w:rPr>
        <w:t>Alternative Report of the Indigenous People of Nepal to the Sate Report Submitted by the Government of Nepal to the Committee on the Elimination of Racial Discrimination</w:t>
      </w:r>
      <w:r w:rsidRPr="00AA7259">
        <w:rPr>
          <w:rFonts w:cs="Arial"/>
          <w:szCs w:val="16"/>
        </w:rPr>
        <w:t xml:space="preserve"> (March 2018) [68] &lt;https://tbinternet.ohchr.org/Treaties/CERD/Shared%20Documents/NPL/INT_CERD_NGO_NPL_30811_E.pdf&gt;.</w:t>
      </w:r>
      <w:bookmarkEnd w:id="59"/>
    </w:p>
  </w:footnote>
  <w:footnote w:id="73">
    <w:p w14:paraId="19F7648B" w14:textId="4FF93F13"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sidRPr="005F2DE0">
        <w:rPr>
          <w:rFonts w:cs="Arial"/>
          <w:szCs w:val="16"/>
        </w:rPr>
        <w:t xml:space="preserve">LAHURNIP, </w:t>
      </w:r>
      <w:r w:rsidRPr="00FD7306">
        <w:rPr>
          <w:rFonts w:cs="Arial"/>
          <w:i/>
          <w:szCs w:val="16"/>
        </w:rPr>
        <w:t>Alternative Report of the Indigenous People of Nepal to the Sate Report Submitted by the Government of Nepal to the Committee on the Elimination of Racial Discrimination</w:t>
      </w:r>
      <w:r w:rsidRPr="005F2DE0">
        <w:rPr>
          <w:rFonts w:cs="Arial"/>
          <w:szCs w:val="16"/>
        </w:rPr>
        <w:t xml:space="preserve"> (March 2018) [68] &lt;https://tbinternet.ohchr.org/Treaties/CERD/Shared%20Documents/NPL/INT_CERD_NGO_NPL_30811_E.pdf&gt;.</w:t>
      </w:r>
    </w:p>
  </w:footnote>
  <w:footnote w:id="74">
    <w:p w14:paraId="168119DA" w14:textId="27F597B1"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United Nations Committee on the Elimination of Racial Discrimination, </w:t>
      </w:r>
      <w:r w:rsidRPr="00AA7259">
        <w:rPr>
          <w:rFonts w:cs="Arial"/>
          <w:i/>
          <w:szCs w:val="16"/>
        </w:rPr>
        <w:t>Concluding Observations on the Combined Seventeenth to Twenty-Third Periodic Reports of Nepal</w:t>
      </w:r>
      <w:r w:rsidRPr="00AA7259">
        <w:rPr>
          <w:rFonts w:cs="Arial"/>
          <w:szCs w:val="16"/>
        </w:rPr>
        <w:t xml:space="preserve"> (11 May 2018) [2</w:t>
      </w:r>
      <w:r>
        <w:rPr>
          <w:rFonts w:cs="Arial"/>
          <w:szCs w:val="16"/>
        </w:rPr>
        <w:t>2</w:t>
      </w:r>
      <w:r w:rsidRPr="00AA7259">
        <w:rPr>
          <w:rFonts w:cs="Arial"/>
          <w:szCs w:val="16"/>
        </w:rPr>
        <w:t>] &lt;https://tbinternet.ohchr.org/Treaties/CERD/Shared%20Documents/NPL/INT_CERD_COC_NPL_31208_E.pdf&gt;.</w:t>
      </w:r>
    </w:p>
  </w:footnote>
  <w:footnote w:id="75">
    <w:p w14:paraId="71C98CB2" w14:textId="244FBD96"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sidRPr="00FC4898">
        <w:rPr>
          <w:rFonts w:cs="Arial"/>
          <w:szCs w:val="16"/>
        </w:rPr>
        <w:t xml:space="preserve">LAHURNIP, </w:t>
      </w:r>
      <w:r w:rsidRPr="00FC4898">
        <w:rPr>
          <w:rFonts w:cs="Arial"/>
          <w:i/>
          <w:szCs w:val="16"/>
        </w:rPr>
        <w:t>Alternative Report of the Indigenous People of Nepal to the Sate Report Submitted by the Government of Nepal to the Committee on the Elimination of Racial Discrimination</w:t>
      </w:r>
      <w:r w:rsidRPr="00FC4898">
        <w:rPr>
          <w:rFonts w:cs="Arial"/>
          <w:szCs w:val="16"/>
        </w:rPr>
        <w:t xml:space="preserve"> (March 2018) </w:t>
      </w:r>
      <w:r w:rsidRPr="00AA7259">
        <w:rPr>
          <w:rFonts w:cs="Arial"/>
          <w:szCs w:val="16"/>
        </w:rPr>
        <w:t>[79]–[85]</w:t>
      </w:r>
      <w:r w:rsidRPr="00FC4898">
        <w:rPr>
          <w:rFonts w:cs="Arial"/>
          <w:szCs w:val="16"/>
        </w:rPr>
        <w:t xml:space="preserve"> &lt;https://tbinternet.ohchr.org/Treaties/CERD/Shared%20Documents/NPL/INT_CERD_NGO_NPL_30811_E.pdf&gt;</w:t>
      </w:r>
      <w:r w:rsidRPr="00AA7259">
        <w:rPr>
          <w:rFonts w:cs="Arial"/>
          <w:szCs w:val="16"/>
        </w:rPr>
        <w:t>.</w:t>
      </w:r>
    </w:p>
  </w:footnote>
  <w:footnote w:id="76">
    <w:p w14:paraId="5C2773F6" w14:textId="77777777"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61" w:name="_Hlk8892625"/>
      <w:r w:rsidRPr="00AA7259">
        <w:rPr>
          <w:rFonts w:cs="Arial"/>
          <w:szCs w:val="16"/>
        </w:rPr>
        <w:t xml:space="preserve">Kabin Maharjan, 'Land contestation in Nepal: Indigenous Land Tenure and Nation Land Policy' (2016) 4 </w:t>
      </w:r>
      <w:r w:rsidRPr="00AA7259">
        <w:rPr>
          <w:rFonts w:cs="Arial"/>
          <w:i/>
          <w:szCs w:val="16"/>
        </w:rPr>
        <w:t>Nepal Journal of Social Science and Public Policy</w:t>
      </w:r>
      <w:r w:rsidRPr="00AA7259">
        <w:rPr>
          <w:rFonts w:cs="Arial"/>
          <w:szCs w:val="16"/>
        </w:rPr>
        <w:t xml:space="preserve"> 120</w:t>
      </w:r>
      <w:bookmarkEnd w:id="61"/>
      <w:r w:rsidRPr="00AA7259">
        <w:rPr>
          <w:rFonts w:cs="Arial"/>
          <w:szCs w:val="16"/>
        </w:rPr>
        <w:t xml:space="preserve">. See also </w:t>
      </w:r>
      <w:bookmarkStart w:id="62" w:name="_Hlk8892657"/>
      <w:r w:rsidRPr="00AA7259">
        <w:rPr>
          <w:rFonts w:cs="Arial"/>
          <w:szCs w:val="16"/>
        </w:rPr>
        <w:t>Landlinks,</w:t>
      </w:r>
      <w:r w:rsidRPr="00AA7259">
        <w:rPr>
          <w:rFonts w:cs="Arial"/>
          <w:i/>
          <w:szCs w:val="16"/>
        </w:rPr>
        <w:t xml:space="preserve"> Nepal</w:t>
      </w:r>
      <w:r w:rsidRPr="00AA7259">
        <w:rPr>
          <w:rFonts w:cs="Arial"/>
          <w:szCs w:val="16"/>
        </w:rPr>
        <w:t xml:space="preserve"> (2017) &lt;https://land-links.org/country-profile/nepal-2&gt;. </w:t>
      </w:r>
      <w:bookmarkEnd w:id="62"/>
    </w:p>
  </w:footnote>
  <w:footnote w:id="77">
    <w:p w14:paraId="70988266" w14:textId="6757740F" w:rsidR="00606116" w:rsidRPr="00C74D6A" w:rsidRDefault="00606116" w:rsidP="003F1099">
      <w:pPr>
        <w:pStyle w:val="FootnoteText"/>
      </w:pPr>
      <w:r>
        <w:rPr>
          <w:rStyle w:val="FootnoteReference"/>
        </w:rPr>
        <w:footnoteRef/>
      </w:r>
      <w:r>
        <w:t xml:space="preserve"> </w:t>
      </w:r>
      <w:bookmarkStart w:id="65" w:name="_Hlk8892810"/>
      <w:r>
        <w:t xml:space="preserve">Government of Nepal: Ministry of Urban Development, </w:t>
      </w:r>
      <w:r w:rsidRPr="00FD7306">
        <w:rPr>
          <w:i/>
        </w:rPr>
        <w:t>Nepal National Report – Inclusive Cities: Resilient Communities</w:t>
      </w:r>
      <w:r>
        <w:t xml:space="preserve"> (2016) 64 &lt;</w:t>
      </w:r>
      <w:r w:rsidRPr="00C74D6A">
        <w:t>http://habitat3.org/wp-content/uploads/Nepal-HII-National-Report_email.pdf</w:t>
      </w:r>
      <w:r>
        <w:t>&gt;.</w:t>
      </w:r>
      <w:bookmarkEnd w:id="65"/>
    </w:p>
  </w:footnote>
  <w:footnote w:id="78">
    <w:p w14:paraId="25CF81AF" w14:textId="6BEDEDE3" w:rsidR="00606116" w:rsidRDefault="00606116" w:rsidP="003F1099">
      <w:pPr>
        <w:pStyle w:val="FootnoteText"/>
      </w:pPr>
      <w:r>
        <w:rPr>
          <w:rStyle w:val="FootnoteReference"/>
        </w:rPr>
        <w:footnoteRef/>
      </w:r>
      <w:r>
        <w:t xml:space="preserve"> Government of Nepal: Ministry of Urban Development, </w:t>
      </w:r>
      <w:r>
        <w:rPr>
          <w:i/>
        </w:rPr>
        <w:t>Nepal National Repo</w:t>
      </w:r>
      <w:r w:rsidRPr="00FD7306">
        <w:rPr>
          <w:i/>
        </w:rPr>
        <w:t>rt – Inclusive Cities: Resilient Communities</w:t>
      </w:r>
      <w:r w:rsidRPr="00FD7306">
        <w:t xml:space="preserve"> (2016) 72 &lt;http://habitat3.org/wp-content/uploads/Nepal-HII-National-Report_email.pdf&gt;.</w:t>
      </w:r>
    </w:p>
  </w:footnote>
  <w:footnote w:id="79">
    <w:p w14:paraId="662765BB" w14:textId="7F2B24FE"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66" w:name="_Hlk8893088"/>
      <w:r w:rsidRPr="00AA7259">
        <w:rPr>
          <w:rFonts w:cs="Arial"/>
          <w:szCs w:val="16"/>
        </w:rPr>
        <w:t xml:space="preserve">Shivit Bakrania, </w:t>
      </w:r>
      <w:r w:rsidRPr="00AA7259">
        <w:rPr>
          <w:rFonts w:cs="Arial"/>
          <w:i/>
          <w:szCs w:val="16"/>
        </w:rPr>
        <w:t>Urban Poverty in Nepal</w:t>
      </w:r>
      <w:r w:rsidRPr="00FD7306">
        <w:rPr>
          <w:rFonts w:cs="Arial"/>
          <w:i/>
          <w:szCs w:val="16"/>
        </w:rPr>
        <w:t xml:space="preserve">: </w:t>
      </w:r>
      <w:r>
        <w:rPr>
          <w:rFonts w:cs="Arial"/>
          <w:i/>
          <w:szCs w:val="16"/>
        </w:rPr>
        <w:t xml:space="preserve">GSDRC </w:t>
      </w:r>
      <w:r w:rsidRPr="00FD7306">
        <w:rPr>
          <w:rFonts w:cs="Arial"/>
          <w:i/>
          <w:szCs w:val="16"/>
        </w:rPr>
        <w:t>Helpdesk Research Report 1322</w:t>
      </w:r>
      <w:r w:rsidRPr="00AA7259">
        <w:rPr>
          <w:rFonts w:cs="Arial"/>
          <w:szCs w:val="16"/>
        </w:rPr>
        <w:t xml:space="preserve"> </w:t>
      </w:r>
      <w:r>
        <w:rPr>
          <w:rFonts w:cs="Arial"/>
          <w:szCs w:val="16"/>
        </w:rPr>
        <w:t>(</w:t>
      </w:r>
      <w:r w:rsidRPr="00AA7259">
        <w:rPr>
          <w:rFonts w:cs="Arial"/>
          <w:szCs w:val="16"/>
        </w:rPr>
        <w:t>2015) 4</w:t>
      </w:r>
      <w:r>
        <w:rPr>
          <w:rFonts w:cs="Arial"/>
          <w:szCs w:val="16"/>
        </w:rPr>
        <w:t xml:space="preserve"> &lt;</w:t>
      </w:r>
      <w:r w:rsidRPr="00B137EC">
        <w:rPr>
          <w:rFonts w:cs="Arial"/>
          <w:szCs w:val="16"/>
        </w:rPr>
        <w:t>https://gsdrc.org/wp-content/uploads/2016/01/HDQ1322.pdf</w:t>
      </w:r>
      <w:r>
        <w:rPr>
          <w:rFonts w:cs="Arial"/>
          <w:szCs w:val="16"/>
        </w:rPr>
        <w:t>&gt;.</w:t>
      </w:r>
      <w:bookmarkEnd w:id="66"/>
      <w:r w:rsidRPr="00AA7259">
        <w:rPr>
          <w:rFonts w:cs="Arial"/>
          <w:szCs w:val="16"/>
        </w:rPr>
        <w:t xml:space="preserve"> </w:t>
      </w:r>
    </w:p>
  </w:footnote>
  <w:footnote w:id="80">
    <w:p w14:paraId="10769B6A" w14:textId="353714D1"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Shivit Bakrania, </w:t>
      </w:r>
      <w:r w:rsidRPr="00AA7259">
        <w:rPr>
          <w:rFonts w:cs="Arial"/>
          <w:i/>
          <w:szCs w:val="16"/>
        </w:rPr>
        <w:t>Urban Poverty in Nepal</w:t>
      </w:r>
      <w:r w:rsidRPr="00143BC5">
        <w:rPr>
          <w:rFonts w:cs="Arial"/>
          <w:i/>
          <w:szCs w:val="16"/>
        </w:rPr>
        <w:t xml:space="preserve">: </w:t>
      </w:r>
      <w:r>
        <w:rPr>
          <w:rFonts w:cs="Arial"/>
          <w:i/>
          <w:szCs w:val="16"/>
        </w:rPr>
        <w:t xml:space="preserve">GSDRC </w:t>
      </w:r>
      <w:r w:rsidRPr="00143BC5">
        <w:rPr>
          <w:rFonts w:cs="Arial"/>
          <w:i/>
          <w:szCs w:val="16"/>
        </w:rPr>
        <w:t>Helpdesk Research Report 1322</w:t>
      </w:r>
      <w:r w:rsidRPr="00AA7259">
        <w:rPr>
          <w:rFonts w:cs="Arial"/>
          <w:szCs w:val="16"/>
        </w:rPr>
        <w:t xml:space="preserve"> </w:t>
      </w:r>
      <w:r>
        <w:rPr>
          <w:rFonts w:cs="Arial"/>
          <w:szCs w:val="16"/>
        </w:rPr>
        <w:t>(</w:t>
      </w:r>
      <w:r w:rsidRPr="00AA7259">
        <w:rPr>
          <w:rFonts w:cs="Arial"/>
          <w:szCs w:val="16"/>
        </w:rPr>
        <w:t xml:space="preserve">2015) </w:t>
      </w:r>
      <w:r>
        <w:rPr>
          <w:rFonts w:cs="Arial"/>
          <w:szCs w:val="16"/>
        </w:rPr>
        <w:t>5 &lt;</w:t>
      </w:r>
      <w:r w:rsidRPr="00B137EC">
        <w:rPr>
          <w:rFonts w:cs="Arial"/>
          <w:szCs w:val="16"/>
        </w:rPr>
        <w:t>https://gsdrc.org/wp-content/uploads/2016/01/HDQ1322.pdf</w:t>
      </w:r>
      <w:r>
        <w:rPr>
          <w:rFonts w:cs="Arial"/>
          <w:szCs w:val="16"/>
        </w:rPr>
        <w:t>&gt;</w:t>
      </w:r>
      <w:r w:rsidRPr="00AA7259">
        <w:rPr>
          <w:rFonts w:cs="Arial"/>
          <w:szCs w:val="16"/>
        </w:rPr>
        <w:t xml:space="preserve">. </w:t>
      </w:r>
    </w:p>
  </w:footnote>
  <w:footnote w:id="81">
    <w:p w14:paraId="3134FB3D" w14:textId="659D8F41" w:rsidR="00606116" w:rsidRPr="00071E0B" w:rsidRDefault="00606116" w:rsidP="003F1099">
      <w:pPr>
        <w:pStyle w:val="FootnoteText"/>
      </w:pPr>
      <w:r>
        <w:rPr>
          <w:rStyle w:val="FootnoteReference"/>
        </w:rPr>
        <w:footnoteRef/>
      </w:r>
      <w:r>
        <w:t xml:space="preserve"> </w:t>
      </w:r>
      <w:bookmarkStart w:id="67" w:name="_Hlk8905232"/>
      <w:r w:rsidRPr="00FD7306">
        <w:t>Reilly Brooks, 'Relocation, Resistance and Resilience: Squatter Community Responses to Government Intervention for Urban Development in Kathmandu</w:t>
      </w:r>
      <w:r>
        <w:t>'</w:t>
      </w:r>
      <w:r w:rsidRPr="00FD7306">
        <w:t xml:space="preserve"> (2016) </w:t>
      </w:r>
      <w:r w:rsidRPr="00FD7306">
        <w:rPr>
          <w:i/>
        </w:rPr>
        <w:t>Independent Study Project Collection</w:t>
      </w:r>
      <w:r w:rsidRPr="00FD7306">
        <w:t>,</w:t>
      </w:r>
      <w:bookmarkEnd w:id="67"/>
      <w:r w:rsidRPr="00FD7306">
        <w:t xml:space="preserve"> 4.</w:t>
      </w:r>
      <w:r>
        <w:t xml:space="preserve"> </w:t>
      </w:r>
    </w:p>
  </w:footnote>
  <w:footnote w:id="82">
    <w:p w14:paraId="391F3C43" w14:textId="13316354" w:rsidR="00606116" w:rsidRPr="00FD7306" w:rsidRDefault="00606116" w:rsidP="003F1099">
      <w:pPr>
        <w:pStyle w:val="FootnoteText"/>
        <w:rPr>
          <w:rFonts w:cs="Arial"/>
          <w:szCs w:val="16"/>
        </w:rPr>
      </w:pPr>
      <w:r>
        <w:rPr>
          <w:rStyle w:val="FootnoteReference"/>
        </w:rPr>
        <w:footnoteRef/>
      </w:r>
      <w:r>
        <w:rPr>
          <w:rFonts w:cs="Arial"/>
          <w:szCs w:val="16"/>
        </w:rPr>
        <w:t xml:space="preserve"> </w:t>
      </w:r>
      <w:r w:rsidRPr="002773CB">
        <w:rPr>
          <w:rFonts w:cs="Arial"/>
          <w:szCs w:val="16"/>
        </w:rPr>
        <w:t xml:space="preserve">Shivit Bakrania, </w:t>
      </w:r>
      <w:r w:rsidRPr="002773CB">
        <w:rPr>
          <w:rFonts w:cs="Arial"/>
          <w:i/>
          <w:szCs w:val="16"/>
        </w:rPr>
        <w:t>Urban Poverty in Nepal: GSDRC Helpdesk Research Report 1322</w:t>
      </w:r>
      <w:r w:rsidRPr="002773CB">
        <w:rPr>
          <w:rFonts w:cs="Arial"/>
          <w:szCs w:val="16"/>
        </w:rPr>
        <w:t xml:space="preserve"> (2015) &lt;https://gsdrc.org/wp-content/uploads/2016/01/HDQ1322.pdf&gt;.</w:t>
      </w:r>
    </w:p>
  </w:footnote>
  <w:footnote w:id="83">
    <w:p w14:paraId="7E57A0BD" w14:textId="68BC5059" w:rsidR="00606116" w:rsidRDefault="00606116" w:rsidP="003F1099">
      <w:pPr>
        <w:pStyle w:val="FootnoteText"/>
      </w:pPr>
      <w:r>
        <w:rPr>
          <w:rStyle w:val="FootnoteReference"/>
        </w:rPr>
        <w:footnoteRef/>
      </w:r>
      <w:r>
        <w:t xml:space="preserve"> </w:t>
      </w:r>
      <w:r w:rsidRPr="00143BC5">
        <w:t>Reilly Brooks, 'Relocation, Resistance and Resilience: Squatter Community Responses to Government Intervention for Urban Development in Kathmandu</w:t>
      </w:r>
      <w:r>
        <w:t>'</w:t>
      </w:r>
      <w:r w:rsidRPr="00143BC5">
        <w:t xml:space="preserve"> (2016) </w:t>
      </w:r>
      <w:r w:rsidRPr="00143BC5">
        <w:rPr>
          <w:i/>
        </w:rPr>
        <w:t>Independent Study Project Collection</w:t>
      </w:r>
      <w:r>
        <w:t>.</w:t>
      </w:r>
    </w:p>
  </w:footnote>
  <w:footnote w:id="84">
    <w:p w14:paraId="02BE8107" w14:textId="12172A22"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sidRPr="002773CB">
        <w:rPr>
          <w:rFonts w:cs="Arial"/>
          <w:szCs w:val="16"/>
        </w:rPr>
        <w:t xml:space="preserve">Shivit Bakrania, </w:t>
      </w:r>
      <w:r w:rsidRPr="002773CB">
        <w:rPr>
          <w:rFonts w:cs="Arial"/>
          <w:i/>
          <w:szCs w:val="16"/>
        </w:rPr>
        <w:t>Urban Poverty in Nepal: GSDRC Helpdesk Research Report 1322</w:t>
      </w:r>
      <w:r w:rsidRPr="002773CB">
        <w:rPr>
          <w:rFonts w:cs="Arial"/>
          <w:szCs w:val="16"/>
        </w:rPr>
        <w:t xml:space="preserve"> (2015) &lt;https://gsdrc.org/wp-content/uploads/2016/01/HDQ1322.pdf&gt;.</w:t>
      </w:r>
      <w:r w:rsidRPr="00AA7259">
        <w:rPr>
          <w:rFonts w:cs="Arial"/>
          <w:szCs w:val="16"/>
        </w:rPr>
        <w:t xml:space="preserve"> </w:t>
      </w:r>
    </w:p>
  </w:footnote>
  <w:footnote w:id="85">
    <w:p w14:paraId="6168A183" w14:textId="37E63BF9"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sidRPr="002773CB">
        <w:rPr>
          <w:rFonts w:cs="Arial"/>
          <w:szCs w:val="16"/>
        </w:rPr>
        <w:t xml:space="preserve">Shivit Bakrania, </w:t>
      </w:r>
      <w:r w:rsidRPr="002773CB">
        <w:rPr>
          <w:rFonts w:cs="Arial"/>
          <w:i/>
          <w:szCs w:val="16"/>
        </w:rPr>
        <w:t>Urban Poverty in Nepal: GSDRC Helpdesk Research Report 1322</w:t>
      </w:r>
      <w:r w:rsidRPr="002773CB">
        <w:rPr>
          <w:rFonts w:cs="Arial"/>
          <w:szCs w:val="16"/>
        </w:rPr>
        <w:t xml:space="preserve"> (2015)</w:t>
      </w:r>
      <w:r>
        <w:rPr>
          <w:rFonts w:cs="Arial"/>
          <w:szCs w:val="16"/>
        </w:rPr>
        <w:t xml:space="preserve"> 7</w:t>
      </w:r>
      <w:r w:rsidRPr="002773CB">
        <w:rPr>
          <w:rFonts w:cs="Arial"/>
          <w:szCs w:val="16"/>
        </w:rPr>
        <w:t xml:space="preserve"> &lt;https://gsdrc.org/wp-content/uploads/2016/01/HDQ1322.pdf&gt;.</w:t>
      </w:r>
      <w:r w:rsidRPr="00AA7259">
        <w:rPr>
          <w:rFonts w:cs="Arial"/>
          <w:szCs w:val="16"/>
        </w:rPr>
        <w:t xml:space="preserve"> </w:t>
      </w:r>
    </w:p>
  </w:footnote>
  <w:footnote w:id="86">
    <w:p w14:paraId="060912BC" w14:textId="7FF7F8B8" w:rsidR="00606116" w:rsidRDefault="00606116" w:rsidP="003F1099">
      <w:pPr>
        <w:pStyle w:val="FootnoteText"/>
      </w:pPr>
      <w:r>
        <w:rPr>
          <w:rStyle w:val="FootnoteReference"/>
        </w:rPr>
        <w:footnoteRef/>
      </w:r>
      <w:r>
        <w:t xml:space="preserve"> Government of Nepal: Ministry of Urban Development, </w:t>
      </w:r>
      <w:r>
        <w:rPr>
          <w:i/>
        </w:rPr>
        <w:t>Nepal National Repo</w:t>
      </w:r>
      <w:r w:rsidRPr="00143BC5">
        <w:rPr>
          <w:i/>
        </w:rPr>
        <w:t>rt – Inclusive Cities: Resilient Communities</w:t>
      </w:r>
      <w:r w:rsidRPr="00143BC5">
        <w:t xml:space="preserve"> (2016) </w:t>
      </w:r>
      <w:r>
        <w:t>65</w:t>
      </w:r>
      <w:r w:rsidRPr="00143BC5">
        <w:t xml:space="preserve"> &lt;http://habitat3.org/wp-content/uploads/Nepal-HII-National-Report_email.pdf</w:t>
      </w:r>
      <w:r>
        <w:t>&gt;.</w:t>
      </w:r>
    </w:p>
  </w:footnote>
  <w:footnote w:id="87">
    <w:p w14:paraId="25206F3F" w14:textId="670D9E28"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Pr>
          <w:rFonts w:cs="Arial"/>
          <w:sz w:val="16"/>
          <w:szCs w:val="16"/>
        </w:rPr>
        <w:t xml:space="preserve"> Constitution</w:t>
      </w:r>
      <w:r w:rsidRPr="00AA7259">
        <w:rPr>
          <w:rFonts w:cs="Arial"/>
          <w:sz w:val="16"/>
          <w:szCs w:val="16"/>
        </w:rPr>
        <w:t xml:space="preserve"> </w:t>
      </w:r>
      <w:r>
        <w:rPr>
          <w:rFonts w:cs="Arial"/>
          <w:sz w:val="16"/>
          <w:szCs w:val="16"/>
        </w:rPr>
        <w:t>art</w:t>
      </w:r>
      <w:r w:rsidRPr="00AA7259">
        <w:rPr>
          <w:rFonts w:cs="Arial"/>
          <w:sz w:val="16"/>
          <w:szCs w:val="16"/>
        </w:rPr>
        <w:t xml:space="preserve"> 25.</w:t>
      </w:r>
    </w:p>
  </w:footnote>
  <w:footnote w:id="88">
    <w:p w14:paraId="252CF95B" w14:textId="3088E9B7" w:rsidR="00606116" w:rsidRPr="000F6777" w:rsidRDefault="00606116" w:rsidP="005D2B95">
      <w:pPr>
        <w:pStyle w:val="FootnoteText"/>
        <w:rPr>
          <w:lang w:val="en-US"/>
        </w:rPr>
      </w:pPr>
      <w:r>
        <w:rPr>
          <w:rStyle w:val="FootnoteReference"/>
        </w:rPr>
        <w:footnoteRef/>
      </w:r>
      <w:r>
        <w:t xml:space="preserve"> </w:t>
      </w:r>
      <w:r>
        <w:rPr>
          <w:lang w:val="en-US"/>
        </w:rPr>
        <w:t>Civil Code ss 256(1)(g), 256(1)(h).</w:t>
      </w:r>
    </w:p>
  </w:footnote>
  <w:footnote w:id="89">
    <w:p w14:paraId="4966DB45" w14:textId="77777777" w:rsidR="00606116" w:rsidRPr="00AA7259" w:rsidRDefault="00606116" w:rsidP="005D2B95">
      <w:pPr>
        <w:pStyle w:val="BodyText"/>
        <w:spacing w:before="100"/>
        <w:rPr>
          <w:rFonts w:cs="Arial"/>
          <w:sz w:val="16"/>
          <w:szCs w:val="16"/>
        </w:rPr>
      </w:pPr>
      <w:r w:rsidRPr="00AA7259">
        <w:rPr>
          <w:rStyle w:val="FootnoteReference"/>
          <w:rFonts w:cs="Arial"/>
          <w:sz w:val="16"/>
          <w:szCs w:val="16"/>
        </w:rPr>
        <w:footnoteRef/>
      </w:r>
      <w:r>
        <w:rPr>
          <w:rFonts w:cs="Arial"/>
          <w:sz w:val="16"/>
          <w:szCs w:val="16"/>
        </w:rPr>
        <w:t xml:space="preserve"> Civil Code s 256(2).</w:t>
      </w:r>
    </w:p>
  </w:footnote>
  <w:footnote w:id="90">
    <w:p w14:paraId="09F6BD49" w14:textId="77777777" w:rsidR="00606116" w:rsidRPr="007C4C76" w:rsidRDefault="00606116" w:rsidP="005D2B95">
      <w:pPr>
        <w:pStyle w:val="FootnoteText"/>
        <w:rPr>
          <w:lang w:val="en-US"/>
        </w:rPr>
      </w:pPr>
      <w:r>
        <w:rPr>
          <w:rStyle w:val="FootnoteReference"/>
        </w:rPr>
        <w:footnoteRef/>
      </w:r>
      <w:r>
        <w:t xml:space="preserve"> </w:t>
      </w:r>
      <w:r>
        <w:rPr>
          <w:lang w:val="en-US"/>
        </w:rPr>
        <w:t>Civil Code s 178.</w:t>
      </w:r>
    </w:p>
  </w:footnote>
  <w:footnote w:id="91">
    <w:p w14:paraId="59C85D7A" w14:textId="77777777" w:rsidR="00606116" w:rsidRPr="00E95BE9" w:rsidRDefault="00606116" w:rsidP="005D2B95">
      <w:pPr>
        <w:pStyle w:val="FootnoteText"/>
        <w:rPr>
          <w:lang w:val="en-US"/>
        </w:rPr>
      </w:pPr>
      <w:r>
        <w:rPr>
          <w:rStyle w:val="FootnoteReference"/>
        </w:rPr>
        <w:footnoteRef/>
      </w:r>
      <w:r>
        <w:t xml:space="preserve"> </w:t>
      </w:r>
      <w:r>
        <w:rPr>
          <w:lang w:val="en-US"/>
        </w:rPr>
        <w:t>Civil Code s 180.</w:t>
      </w:r>
    </w:p>
  </w:footnote>
  <w:footnote w:id="92">
    <w:p w14:paraId="76B707DB" w14:textId="77777777" w:rsidR="00606116" w:rsidRPr="00305863" w:rsidRDefault="00606116" w:rsidP="005D2B95">
      <w:pPr>
        <w:pStyle w:val="FootnoteText"/>
        <w:rPr>
          <w:lang w:val="en-US"/>
        </w:rPr>
      </w:pPr>
      <w:r>
        <w:rPr>
          <w:rStyle w:val="FootnoteReference"/>
        </w:rPr>
        <w:footnoteRef/>
      </w:r>
      <w:r>
        <w:t xml:space="preserve"> </w:t>
      </w:r>
      <w:r>
        <w:rPr>
          <w:lang w:val="en-US"/>
        </w:rPr>
        <w:t>Civil Code s 267.</w:t>
      </w:r>
    </w:p>
  </w:footnote>
  <w:footnote w:id="93">
    <w:p w14:paraId="66B54408" w14:textId="77777777" w:rsidR="00606116" w:rsidRPr="00987E01" w:rsidRDefault="00606116" w:rsidP="005D2B95">
      <w:pPr>
        <w:pStyle w:val="FootnoteText"/>
        <w:rPr>
          <w:lang w:val="en-US"/>
        </w:rPr>
      </w:pPr>
      <w:r>
        <w:rPr>
          <w:rStyle w:val="FootnoteReference"/>
        </w:rPr>
        <w:footnoteRef/>
      </w:r>
      <w:r>
        <w:t xml:space="preserve"> </w:t>
      </w:r>
      <w:r>
        <w:rPr>
          <w:lang w:val="en-US"/>
        </w:rPr>
        <w:t>Civil Code s 257(2).</w:t>
      </w:r>
    </w:p>
  </w:footnote>
  <w:footnote w:id="94">
    <w:p w14:paraId="52FFE143" w14:textId="77777777" w:rsidR="00606116" w:rsidRPr="0059068E" w:rsidRDefault="00606116" w:rsidP="005D2B95">
      <w:pPr>
        <w:pStyle w:val="FootnoteText"/>
        <w:rPr>
          <w:rFonts w:cstheme="minorBidi"/>
          <w:lang w:val="en-US" w:bidi="ne-NP"/>
        </w:rPr>
      </w:pPr>
      <w:r>
        <w:rPr>
          <w:rStyle w:val="FootnoteReference"/>
        </w:rPr>
        <w:footnoteRef/>
      </w:r>
      <w:r>
        <w:t xml:space="preserve"> </w:t>
      </w:r>
      <w:r>
        <w:rPr>
          <w:lang w:val="en-US"/>
        </w:rPr>
        <w:t>Civil Code s 99(6).</w:t>
      </w:r>
    </w:p>
  </w:footnote>
  <w:footnote w:id="95">
    <w:p w14:paraId="3D71B8EE" w14:textId="77777777" w:rsidR="00606116" w:rsidRPr="00DE4F7B" w:rsidRDefault="00606116" w:rsidP="005D2B95">
      <w:pPr>
        <w:pStyle w:val="FootnoteText"/>
        <w:rPr>
          <w:lang w:val="en-US"/>
        </w:rPr>
      </w:pPr>
      <w:r>
        <w:rPr>
          <w:rStyle w:val="FootnoteReference"/>
        </w:rPr>
        <w:footnoteRef/>
      </w:r>
      <w:r>
        <w:t xml:space="preserve"> </w:t>
      </w:r>
      <w:r>
        <w:rPr>
          <w:lang w:val="en-US"/>
        </w:rPr>
        <w:t>Civil Code s 94(b).</w:t>
      </w:r>
    </w:p>
  </w:footnote>
  <w:footnote w:id="96">
    <w:p w14:paraId="4ED06A63" w14:textId="77777777" w:rsidR="00606116" w:rsidRPr="00FC6713" w:rsidRDefault="00606116" w:rsidP="005D2B95">
      <w:pPr>
        <w:pStyle w:val="FootnoteText"/>
        <w:rPr>
          <w:lang w:val="en-US"/>
        </w:rPr>
      </w:pPr>
      <w:r>
        <w:rPr>
          <w:rStyle w:val="FootnoteReference"/>
        </w:rPr>
        <w:footnoteRef/>
      </w:r>
      <w:r>
        <w:t xml:space="preserve"> </w:t>
      </w:r>
      <w:r>
        <w:rPr>
          <w:lang w:val="en-US"/>
        </w:rPr>
        <w:t>Civil Code s 94(c).</w:t>
      </w:r>
    </w:p>
  </w:footnote>
  <w:footnote w:id="97">
    <w:p w14:paraId="2C8E2F55" w14:textId="77777777" w:rsidR="00606116" w:rsidRPr="00D10613" w:rsidRDefault="00606116" w:rsidP="005D2B95">
      <w:pPr>
        <w:pStyle w:val="FootnoteText"/>
        <w:rPr>
          <w:lang w:val="en-US"/>
        </w:rPr>
      </w:pPr>
      <w:r>
        <w:rPr>
          <w:rStyle w:val="FootnoteReference"/>
        </w:rPr>
        <w:footnoteRef/>
      </w:r>
      <w:r>
        <w:t xml:space="preserve"> </w:t>
      </w:r>
      <w:r>
        <w:rPr>
          <w:lang w:val="en-US"/>
        </w:rPr>
        <w:t>Civil Code s 94(d).</w:t>
      </w:r>
    </w:p>
  </w:footnote>
  <w:footnote w:id="98">
    <w:p w14:paraId="38868044" w14:textId="1079535A"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Constitution </w:t>
      </w:r>
      <w:r>
        <w:rPr>
          <w:rFonts w:cs="Arial"/>
          <w:sz w:val="16"/>
          <w:szCs w:val="16"/>
        </w:rPr>
        <w:t>art 18.</w:t>
      </w:r>
    </w:p>
  </w:footnote>
  <w:footnote w:id="99">
    <w:p w14:paraId="1AF38AD8" w14:textId="48F779D9"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bookmarkStart w:id="73" w:name="_Hlk8905863"/>
      <w:r>
        <w:rPr>
          <w:rFonts w:cs="Arial"/>
          <w:sz w:val="16"/>
          <w:szCs w:val="16"/>
        </w:rPr>
        <w:t xml:space="preserve">International Organization for Migration, </w:t>
      </w:r>
      <w:r>
        <w:rPr>
          <w:rFonts w:cs="Arial"/>
          <w:i/>
          <w:sz w:val="16"/>
          <w:szCs w:val="16"/>
        </w:rPr>
        <w:t xml:space="preserve">Press Release: </w:t>
      </w:r>
      <w:r w:rsidRPr="00FD7306">
        <w:rPr>
          <w:rFonts w:cs="Arial"/>
          <w:i/>
          <w:sz w:val="16"/>
          <w:szCs w:val="16"/>
        </w:rPr>
        <w:t>Securing Women's Land and Property Rights in Nepal</w:t>
      </w:r>
      <w:r>
        <w:rPr>
          <w:rFonts w:cs="Arial"/>
          <w:sz w:val="16"/>
          <w:szCs w:val="16"/>
        </w:rPr>
        <w:t xml:space="preserve"> (28 June 2016) &lt;</w:t>
      </w:r>
      <w:r w:rsidRPr="00AA7259">
        <w:rPr>
          <w:rFonts w:cs="Arial"/>
          <w:sz w:val="16"/>
          <w:szCs w:val="16"/>
        </w:rPr>
        <w:t>https://www.iom.int/news/securing-womens-land-and-property-rights-nepal</w:t>
      </w:r>
      <w:r>
        <w:rPr>
          <w:rFonts w:cs="Arial"/>
          <w:sz w:val="16"/>
          <w:szCs w:val="16"/>
        </w:rPr>
        <w:t>&gt;.</w:t>
      </w:r>
      <w:bookmarkEnd w:id="73"/>
    </w:p>
  </w:footnote>
  <w:footnote w:id="100">
    <w:p w14:paraId="0C2247A7" w14:textId="5DA77603" w:rsidR="00606116" w:rsidRDefault="00606116">
      <w:pPr>
        <w:pStyle w:val="FootnoteText"/>
      </w:pPr>
      <w:r>
        <w:rPr>
          <w:rStyle w:val="FootnoteReference"/>
        </w:rPr>
        <w:footnoteRef/>
      </w:r>
      <w:r>
        <w:t xml:space="preserve"> See section </w:t>
      </w:r>
      <w:r>
        <w:fldChar w:fldCharType="begin"/>
      </w:r>
      <w:r>
        <w:instrText xml:space="preserve"> REF _Ref8811916 \r \h </w:instrText>
      </w:r>
      <w:r>
        <w:fldChar w:fldCharType="separate"/>
      </w:r>
      <w:r>
        <w:t>2.1(b)</w:t>
      </w:r>
      <w:r>
        <w:fldChar w:fldCharType="end"/>
      </w:r>
      <w:r>
        <w:t xml:space="preserve"> above.</w:t>
      </w:r>
    </w:p>
  </w:footnote>
  <w:footnote w:id="101">
    <w:p w14:paraId="62EDC920" w14:textId="1DCC7E69"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6</w:t>
      </w:r>
      <w:r w:rsidRPr="000C3205">
        <w:rPr>
          <w:rFonts w:cs="Arial"/>
          <w:sz w:val="16"/>
          <w:szCs w:val="16"/>
        </w:rPr>
        <w:t xml:space="preserve"> &lt;https://insights.careinternational.org.uk/publications/housing-land-and-property-issues-in-nepal-and-their-consequences-for-the-post-earthquake-reconstruction-process&gt;.</w:t>
      </w:r>
      <w:r w:rsidRPr="00AA7259">
        <w:rPr>
          <w:rFonts w:cs="Arial"/>
          <w:sz w:val="16"/>
          <w:szCs w:val="16"/>
        </w:rPr>
        <w:t xml:space="preserve"> </w:t>
      </w:r>
    </w:p>
  </w:footnote>
  <w:footnote w:id="102">
    <w:p w14:paraId="5749B4A7" w14:textId="60E7DA52"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bookmarkStart w:id="74" w:name="_Hlk8906317"/>
      <w:r>
        <w:rPr>
          <w:rFonts w:cs="Arial"/>
          <w:sz w:val="16"/>
          <w:szCs w:val="16"/>
        </w:rPr>
        <w:t xml:space="preserve">Forum for Women, Law and </w:t>
      </w:r>
      <w:r w:rsidRPr="00AA7259">
        <w:rPr>
          <w:rFonts w:cs="Arial"/>
          <w:sz w:val="16"/>
          <w:szCs w:val="16"/>
        </w:rPr>
        <w:t xml:space="preserve">Development, </w:t>
      </w:r>
      <w:r w:rsidRPr="00AA7259">
        <w:rPr>
          <w:rFonts w:cs="Arial"/>
          <w:i/>
          <w:sz w:val="16"/>
          <w:szCs w:val="16"/>
        </w:rPr>
        <w:t>Acquisition of Citizen Certificate in Nepal</w:t>
      </w:r>
      <w:r>
        <w:rPr>
          <w:rFonts w:cs="Arial"/>
          <w:i/>
          <w:sz w:val="16"/>
          <w:szCs w:val="16"/>
        </w:rPr>
        <w:t xml:space="preserve">: Understanding Trends, Barriers and Impacts </w:t>
      </w:r>
      <w:r w:rsidRPr="00AA7259">
        <w:rPr>
          <w:rFonts w:cs="Arial"/>
          <w:sz w:val="16"/>
          <w:szCs w:val="16"/>
        </w:rPr>
        <w:t>(2014</w:t>
      </w:r>
      <w:r>
        <w:rPr>
          <w:rFonts w:cs="Arial"/>
          <w:sz w:val="16"/>
          <w:szCs w:val="16"/>
        </w:rPr>
        <w:t>) II (Executive Summary) &lt;</w:t>
      </w:r>
      <w:r w:rsidRPr="00FD7306">
        <w:rPr>
          <w:rFonts w:cs="Arial"/>
          <w:sz w:val="16"/>
          <w:szCs w:val="16"/>
        </w:rPr>
        <w:t>http://fwld.org/wp-content/uploads/2016/06/Acquisition-of-Citizenship-Certificate-in-Nepal-Understanding-Trends-Barriers-and-Impacts.pdf</w:t>
      </w:r>
      <w:r>
        <w:rPr>
          <w:rFonts w:cs="Arial"/>
          <w:sz w:val="16"/>
          <w:szCs w:val="16"/>
        </w:rPr>
        <w:t>&gt;.</w:t>
      </w:r>
      <w:bookmarkEnd w:id="74"/>
    </w:p>
  </w:footnote>
  <w:footnote w:id="103">
    <w:p w14:paraId="41A45750" w14:textId="39AF77B9"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6</w:t>
      </w:r>
      <w:r w:rsidRPr="000C3205">
        <w:rPr>
          <w:rFonts w:cs="Arial"/>
          <w:sz w:val="16"/>
          <w:szCs w:val="16"/>
        </w:rPr>
        <w:t xml:space="preserve"> &lt;https://insights.careinternational.org.uk/publications/housing-land-and-property-issues-in-nepal-and-their-consequences-for-the-post-earthquake-reconstruction-process&gt;.</w:t>
      </w:r>
      <w:r w:rsidRPr="00AA7259">
        <w:rPr>
          <w:rFonts w:cs="Arial"/>
          <w:sz w:val="16"/>
          <w:szCs w:val="16"/>
        </w:rPr>
        <w:t xml:space="preserve"> </w:t>
      </w:r>
    </w:p>
  </w:footnote>
  <w:footnote w:id="104">
    <w:p w14:paraId="58B68070" w14:textId="6DD53C00"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6</w:t>
      </w:r>
      <w:r w:rsidRPr="000C3205">
        <w:rPr>
          <w:rFonts w:cs="Arial"/>
          <w:sz w:val="16"/>
          <w:szCs w:val="16"/>
        </w:rPr>
        <w:t xml:space="preserve"> &lt;https://insights.careinternational.org.uk/publications/housing-land-and-property-issues-in-nepal-and-their-consequences-for-the-post-earthquake-reconstruction-process&gt;.</w:t>
      </w:r>
      <w:r w:rsidRPr="00AA7259">
        <w:rPr>
          <w:rFonts w:cs="Arial"/>
          <w:sz w:val="16"/>
          <w:szCs w:val="16"/>
        </w:rPr>
        <w:t xml:space="preserve">  </w:t>
      </w:r>
    </w:p>
  </w:footnote>
  <w:footnote w:id="105">
    <w:p w14:paraId="6C6A2380" w14:textId="286BC709"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Pr>
          <w:rFonts w:cs="Arial"/>
          <w:sz w:val="16"/>
          <w:szCs w:val="16"/>
        </w:rPr>
        <w:t xml:space="preserve"> Constitution art</w:t>
      </w:r>
      <w:r w:rsidRPr="00AA7259">
        <w:rPr>
          <w:rFonts w:cs="Arial"/>
          <w:sz w:val="16"/>
          <w:szCs w:val="16"/>
        </w:rPr>
        <w:t xml:space="preserve"> 25</w:t>
      </w:r>
      <w:r>
        <w:rPr>
          <w:rFonts w:cs="Arial"/>
          <w:sz w:val="16"/>
          <w:szCs w:val="16"/>
        </w:rPr>
        <w:t>.</w:t>
      </w:r>
    </w:p>
  </w:footnote>
  <w:footnote w:id="106">
    <w:p w14:paraId="3EE0C509" w14:textId="49BF61A3"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bookmarkStart w:id="75" w:name="_Hlk8906391"/>
      <w:r>
        <w:rPr>
          <w:rFonts w:cs="Arial"/>
          <w:sz w:val="16"/>
          <w:szCs w:val="16"/>
        </w:rPr>
        <w:t xml:space="preserve">Ganga Devi Dabadi, </w:t>
      </w:r>
      <w:r>
        <w:rPr>
          <w:rFonts w:cs="Arial"/>
          <w:i/>
          <w:sz w:val="16"/>
          <w:szCs w:val="16"/>
        </w:rPr>
        <w:t xml:space="preserve">Assessing Female Ownership of Fixed Assets in Nepal: A New Feature of the Population Census 2001 </w:t>
      </w:r>
      <w:r>
        <w:rPr>
          <w:rFonts w:cs="Arial"/>
          <w:sz w:val="16"/>
          <w:szCs w:val="16"/>
        </w:rPr>
        <w:t>(2009) &lt;</w:t>
      </w:r>
      <w:r w:rsidRPr="00AA7259">
        <w:rPr>
          <w:rFonts w:cs="Arial"/>
          <w:sz w:val="16"/>
          <w:szCs w:val="16"/>
        </w:rPr>
        <w:t>https://unstats.un.org/unsd/gender/Ghana_Jan2009/Doc26.pdf</w:t>
      </w:r>
      <w:r>
        <w:rPr>
          <w:rFonts w:cs="Arial"/>
          <w:sz w:val="16"/>
          <w:szCs w:val="16"/>
        </w:rPr>
        <w:t>&gt;.</w:t>
      </w:r>
      <w:bookmarkEnd w:id="75"/>
    </w:p>
  </w:footnote>
  <w:footnote w:id="107">
    <w:p w14:paraId="4FF3B486" w14:textId="0FA80E69"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14</w:t>
      </w:r>
      <w:r w:rsidRPr="000C3205">
        <w:rPr>
          <w:rFonts w:cs="Arial"/>
          <w:sz w:val="16"/>
          <w:szCs w:val="16"/>
        </w:rPr>
        <w:t xml:space="preserve"> &lt;https://insights.careinternational.org.uk/publications/housing-land-and-property-issues-in-nepal-and-their-consequences-for-the-post-earthquake-reconstruction-process&gt;.</w:t>
      </w:r>
    </w:p>
  </w:footnote>
  <w:footnote w:id="108">
    <w:p w14:paraId="536152BE" w14:textId="3D3D8519"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14</w:t>
      </w:r>
      <w:r w:rsidRPr="000C3205">
        <w:rPr>
          <w:rFonts w:cs="Arial"/>
          <w:sz w:val="16"/>
          <w:szCs w:val="16"/>
        </w:rPr>
        <w:t xml:space="preserve"> &lt;https://insights.careinternational.org.uk/publications/housing-land-and-property-issues-in-nepal-and-their-consequences-for-the-post-earthquake-reconstruction-process&gt;.</w:t>
      </w:r>
      <w:r w:rsidRPr="00AA7259">
        <w:rPr>
          <w:rFonts w:cs="Arial"/>
          <w:sz w:val="16"/>
          <w:szCs w:val="16"/>
        </w:rPr>
        <w:t xml:space="preserve"> </w:t>
      </w:r>
    </w:p>
  </w:footnote>
  <w:footnote w:id="109">
    <w:p w14:paraId="57B02999" w14:textId="1F7CF47B"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14</w:t>
      </w:r>
      <w:r w:rsidRPr="000C3205">
        <w:rPr>
          <w:rFonts w:cs="Arial"/>
          <w:sz w:val="16"/>
          <w:szCs w:val="16"/>
        </w:rPr>
        <w:t xml:space="preserve"> &lt;https://insights.careinternational.org.uk/publications/housing-land-and-property-issues-in-nepal-and-their-consequences-for-the-post-earthquake-reconstruction-process&gt;.</w:t>
      </w:r>
    </w:p>
  </w:footnote>
  <w:footnote w:id="110">
    <w:p w14:paraId="1C38C5F9" w14:textId="50446CA4"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14</w:t>
      </w:r>
      <w:r w:rsidRPr="000C3205">
        <w:rPr>
          <w:rFonts w:cs="Arial"/>
          <w:sz w:val="16"/>
          <w:szCs w:val="16"/>
        </w:rPr>
        <w:t xml:space="preserve"> &lt;https://insights.careinternational.org.uk/publications/housing-land-and-property-issues-in-nepal-and-their-consequences-for-the-post-earthquake-reconstruction-process&gt;.</w:t>
      </w:r>
    </w:p>
  </w:footnote>
  <w:footnote w:id="111">
    <w:p w14:paraId="490FB0CE" w14:textId="760332B8"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Pr>
          <w:rFonts w:cs="Arial"/>
          <w:sz w:val="16"/>
          <w:szCs w:val="16"/>
        </w:rPr>
        <w:t xml:space="preserve">International Labour Organisation, </w:t>
      </w:r>
      <w:r>
        <w:rPr>
          <w:rFonts w:cs="Arial"/>
          <w:i/>
          <w:sz w:val="16"/>
          <w:szCs w:val="16"/>
        </w:rPr>
        <w:t>Convention Concerning Indigenous and Tribunal Peoples in Independent Countries (No 169)</w:t>
      </w:r>
      <w:r>
        <w:rPr>
          <w:rFonts w:cs="Arial"/>
          <w:sz w:val="16"/>
          <w:szCs w:val="16"/>
        </w:rPr>
        <w:t>, entered into force 5 September 1991 (</w:t>
      </w:r>
      <w:r>
        <w:rPr>
          <w:rFonts w:cs="Arial"/>
          <w:b/>
          <w:i/>
          <w:sz w:val="16"/>
          <w:szCs w:val="16"/>
        </w:rPr>
        <w:t>ILO Convention No 169</w:t>
      </w:r>
      <w:r>
        <w:rPr>
          <w:rFonts w:cs="Arial"/>
          <w:sz w:val="16"/>
          <w:szCs w:val="16"/>
        </w:rPr>
        <w:t>).</w:t>
      </w:r>
    </w:p>
  </w:footnote>
  <w:footnote w:id="112">
    <w:p w14:paraId="79FEB662" w14:textId="77777777"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ILO Convention No 169</w:t>
      </w:r>
      <w:r>
        <w:rPr>
          <w:rFonts w:cs="Arial"/>
          <w:sz w:val="16"/>
          <w:szCs w:val="16"/>
        </w:rPr>
        <w:t xml:space="preserve"> art 14.</w:t>
      </w:r>
    </w:p>
  </w:footnote>
  <w:footnote w:id="113">
    <w:p w14:paraId="2FB767C6" w14:textId="77777777" w:rsidR="00606116" w:rsidRPr="0010130D" w:rsidRDefault="00606116" w:rsidP="00CB4058">
      <w:pPr>
        <w:pStyle w:val="FootnoteText"/>
        <w:rPr>
          <w:lang w:val="en-US"/>
        </w:rPr>
      </w:pPr>
      <w:r>
        <w:rPr>
          <w:rStyle w:val="FootnoteReference"/>
        </w:rPr>
        <w:footnoteRef/>
      </w:r>
      <w:r>
        <w:t xml:space="preserve"> </w:t>
      </w:r>
      <w:r w:rsidRPr="00962175">
        <w:rPr>
          <w:lang w:val="en-US"/>
        </w:rPr>
        <w:t xml:space="preserve">Constitution </w:t>
      </w:r>
      <w:r>
        <w:rPr>
          <w:lang w:val="en-US"/>
        </w:rPr>
        <w:t>art 255.</w:t>
      </w:r>
    </w:p>
  </w:footnote>
  <w:footnote w:id="114">
    <w:p w14:paraId="2A14E3F5" w14:textId="77777777" w:rsidR="00606116" w:rsidRPr="0010130D" w:rsidRDefault="00606116" w:rsidP="00CB4058">
      <w:pPr>
        <w:pStyle w:val="FootnoteText"/>
        <w:rPr>
          <w:lang w:val="en-US"/>
        </w:rPr>
      </w:pPr>
      <w:r>
        <w:rPr>
          <w:rStyle w:val="FootnoteReference"/>
        </w:rPr>
        <w:footnoteRef/>
      </w:r>
      <w:r>
        <w:t xml:space="preserve"> </w:t>
      </w:r>
      <w:r>
        <w:rPr>
          <w:lang w:val="en-US"/>
        </w:rPr>
        <w:t>Constitution art 261.</w:t>
      </w:r>
    </w:p>
  </w:footnote>
  <w:footnote w:id="115">
    <w:p w14:paraId="7E79FD59" w14:textId="77777777" w:rsidR="00606116" w:rsidRPr="0010130D" w:rsidRDefault="00606116" w:rsidP="00CB4058">
      <w:pPr>
        <w:pStyle w:val="FootnoteText"/>
        <w:rPr>
          <w:lang w:val="en-US"/>
        </w:rPr>
      </w:pPr>
      <w:r>
        <w:rPr>
          <w:rStyle w:val="FootnoteReference"/>
        </w:rPr>
        <w:footnoteRef/>
      </w:r>
      <w:r>
        <w:t xml:space="preserve"> </w:t>
      </w:r>
      <w:r>
        <w:rPr>
          <w:lang w:val="en-US"/>
        </w:rPr>
        <w:t>Constitution art 262.</w:t>
      </w:r>
    </w:p>
  </w:footnote>
  <w:footnote w:id="116">
    <w:p w14:paraId="28F94D3F" w14:textId="77777777" w:rsidR="00606116" w:rsidRPr="0010130D" w:rsidRDefault="00606116" w:rsidP="00CB4058">
      <w:pPr>
        <w:pStyle w:val="FootnoteText"/>
        <w:rPr>
          <w:lang w:val="en-US"/>
        </w:rPr>
      </w:pPr>
      <w:r>
        <w:rPr>
          <w:rStyle w:val="FootnoteReference"/>
        </w:rPr>
        <w:footnoteRef/>
      </w:r>
      <w:r>
        <w:t xml:space="preserve"> </w:t>
      </w:r>
      <w:r>
        <w:rPr>
          <w:lang w:val="en-US"/>
        </w:rPr>
        <w:t>Constitution art 263.</w:t>
      </w:r>
    </w:p>
  </w:footnote>
  <w:footnote w:id="117">
    <w:p w14:paraId="7F1544EC" w14:textId="77777777" w:rsidR="00606116" w:rsidRPr="0010130D" w:rsidRDefault="00606116" w:rsidP="00CB4058">
      <w:pPr>
        <w:pStyle w:val="FootnoteText"/>
        <w:rPr>
          <w:lang w:val="en-US"/>
        </w:rPr>
      </w:pPr>
      <w:r>
        <w:rPr>
          <w:rStyle w:val="FootnoteReference"/>
        </w:rPr>
        <w:footnoteRef/>
      </w:r>
      <w:r>
        <w:t xml:space="preserve"> Constitution a</w:t>
      </w:r>
      <w:r>
        <w:rPr>
          <w:lang w:val="en-US"/>
        </w:rPr>
        <w:t>rt 264.</w:t>
      </w:r>
    </w:p>
  </w:footnote>
  <w:footnote w:id="118">
    <w:p w14:paraId="6E02062C" w14:textId="7EE651B0" w:rsidR="00606116" w:rsidRPr="00AA7259" w:rsidRDefault="00606116" w:rsidP="00CB4058">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15</w:t>
      </w:r>
      <w:r w:rsidRPr="000C3205">
        <w:rPr>
          <w:rFonts w:cs="Arial"/>
          <w:sz w:val="16"/>
          <w:szCs w:val="16"/>
        </w:rPr>
        <w:t xml:space="preserve"> &lt;https://insights.careinternational.org.uk/publications/housing-land-and-property-issues-in-nepal-and-their-consequences-for-the-post-earthquake-reconstruction-process&gt;.</w:t>
      </w:r>
      <w:r w:rsidRPr="00AA7259">
        <w:rPr>
          <w:rFonts w:cs="Arial"/>
          <w:sz w:val="16"/>
          <w:szCs w:val="16"/>
        </w:rPr>
        <w:t xml:space="preserve">  </w:t>
      </w:r>
    </w:p>
  </w:footnote>
  <w:footnote w:id="119">
    <w:p w14:paraId="2D99A14C" w14:textId="49ADA31B"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Pr>
          <w:rFonts w:cs="Arial"/>
          <w:sz w:val="16"/>
          <w:szCs w:val="16"/>
        </w:rPr>
        <w:t xml:space="preserve">Forum for Women, Law and </w:t>
      </w:r>
      <w:r w:rsidRPr="00AA7259">
        <w:rPr>
          <w:rFonts w:cs="Arial"/>
          <w:sz w:val="16"/>
          <w:szCs w:val="16"/>
        </w:rPr>
        <w:t xml:space="preserve">Development, </w:t>
      </w:r>
      <w:r w:rsidRPr="00AA7259">
        <w:rPr>
          <w:rFonts w:cs="Arial"/>
          <w:i/>
          <w:sz w:val="16"/>
          <w:szCs w:val="16"/>
        </w:rPr>
        <w:t>Acquisition of Citizen Certificate in Nepal</w:t>
      </w:r>
      <w:r>
        <w:rPr>
          <w:rFonts w:cs="Arial"/>
          <w:i/>
          <w:sz w:val="16"/>
          <w:szCs w:val="16"/>
        </w:rPr>
        <w:t xml:space="preserve">: Understanding Trends, Barriers and Impacts </w:t>
      </w:r>
      <w:r w:rsidRPr="00AA7259">
        <w:rPr>
          <w:rFonts w:cs="Arial"/>
          <w:sz w:val="16"/>
          <w:szCs w:val="16"/>
        </w:rPr>
        <w:t>(2014</w:t>
      </w:r>
      <w:r>
        <w:rPr>
          <w:rFonts w:cs="Arial"/>
          <w:sz w:val="16"/>
          <w:szCs w:val="16"/>
        </w:rPr>
        <w:t>) &lt;</w:t>
      </w:r>
      <w:r w:rsidRPr="00143BC5">
        <w:rPr>
          <w:rFonts w:cs="Arial"/>
          <w:sz w:val="16"/>
          <w:szCs w:val="16"/>
        </w:rPr>
        <w:t>http://fwld.org/wp-content/uploads/2016/06/Acquisition-of-Citizenship-Certificate-in-Nepal-Understanding-Trends-Barriers-and-Impacts.pdf</w:t>
      </w:r>
      <w:r>
        <w:rPr>
          <w:rFonts w:cs="Arial"/>
          <w:sz w:val="16"/>
          <w:szCs w:val="16"/>
        </w:rPr>
        <w:t>&gt;.</w:t>
      </w:r>
    </w:p>
  </w:footnote>
  <w:footnote w:id="120">
    <w:p w14:paraId="79CD991A" w14:textId="28DB1362"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13</w:t>
      </w:r>
      <w:r w:rsidRPr="000C3205">
        <w:rPr>
          <w:rFonts w:cs="Arial"/>
          <w:sz w:val="16"/>
          <w:szCs w:val="16"/>
        </w:rPr>
        <w:t xml:space="preserve"> &lt;https://insights.careinternational.org.uk/publications/housing-land-and-property-issues-in-nepal-and-their-consequences-for-the-post-earthquake-reconstruction-process&gt;.</w:t>
      </w:r>
    </w:p>
  </w:footnote>
  <w:footnote w:id="121">
    <w:p w14:paraId="5F7778FF" w14:textId="08B6EE24"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13</w:t>
      </w:r>
      <w:r w:rsidRPr="000C3205">
        <w:rPr>
          <w:rFonts w:cs="Arial"/>
          <w:sz w:val="16"/>
          <w:szCs w:val="16"/>
        </w:rPr>
        <w:t xml:space="preserve"> &lt;https://insights.careinternational.org.uk/publications/housing-land-and-property-issues-in-nepal-and-their-consequences-for-the-post-earthquake-reconstruction-process&gt;.</w:t>
      </w:r>
    </w:p>
  </w:footnote>
  <w:footnote w:id="122">
    <w:p w14:paraId="0569C6E7" w14:textId="549E3943" w:rsidR="00606116" w:rsidRPr="00AA7259" w:rsidRDefault="00606116" w:rsidP="00AA7259">
      <w:pPr>
        <w:pStyle w:val="BodyText"/>
        <w:spacing w:before="100"/>
        <w:rPr>
          <w:rFonts w:cs="Arial"/>
          <w:sz w:val="16"/>
          <w:szCs w:val="16"/>
        </w:rPr>
      </w:pPr>
      <w:r w:rsidRPr="00AA7259">
        <w:rPr>
          <w:rStyle w:val="FootnoteReference"/>
          <w:rFonts w:cs="Arial"/>
          <w:sz w:val="16"/>
          <w:szCs w:val="16"/>
        </w:rPr>
        <w:footnoteRef/>
      </w:r>
      <w:r w:rsidRPr="00AA7259">
        <w:rPr>
          <w:rFonts w:cs="Arial"/>
          <w:sz w:val="16"/>
          <w:szCs w:val="16"/>
        </w:rPr>
        <w:t xml:space="preserve"> </w:t>
      </w:r>
      <w:r w:rsidRPr="000C3205">
        <w:rPr>
          <w:rFonts w:cs="Arial"/>
          <w:sz w:val="16"/>
          <w:szCs w:val="16"/>
        </w:rPr>
        <w:t xml:space="preserve">Agathe Nougaret and Ram Danuwar, </w:t>
      </w:r>
      <w:r w:rsidRPr="000C3205">
        <w:rPr>
          <w:rFonts w:cs="Arial"/>
          <w:i/>
          <w:sz w:val="16"/>
          <w:szCs w:val="16"/>
        </w:rPr>
        <w:t>Housing, Land and Property Issues in Nepal: And their Consequences for the Post-Earthquake Reconstruction process</w:t>
      </w:r>
      <w:r w:rsidRPr="000C3205">
        <w:rPr>
          <w:rFonts w:cs="Arial"/>
          <w:sz w:val="16"/>
          <w:szCs w:val="16"/>
        </w:rPr>
        <w:t xml:space="preserve"> (2016) </w:t>
      </w:r>
      <w:r>
        <w:rPr>
          <w:rFonts w:cs="Arial"/>
          <w:sz w:val="16"/>
          <w:szCs w:val="16"/>
        </w:rPr>
        <w:t>13</w:t>
      </w:r>
      <w:r w:rsidRPr="000C3205">
        <w:rPr>
          <w:rFonts w:cs="Arial"/>
          <w:sz w:val="16"/>
          <w:szCs w:val="16"/>
        </w:rPr>
        <w:t xml:space="preserve"> &lt;https://insights.careinternational.org.uk/publications/housing-land-and-property-issues-in-nepal-and-their-consequences-for-the-post-earthquake-reconstruction-process&gt;.</w:t>
      </w:r>
    </w:p>
  </w:footnote>
  <w:footnote w:id="123">
    <w:p w14:paraId="67ACA6F8" w14:textId="77777777" w:rsidR="00606116" w:rsidRDefault="00606116" w:rsidP="00957971">
      <w:pPr>
        <w:pStyle w:val="FootnoteText"/>
      </w:pPr>
      <w:r>
        <w:rPr>
          <w:rStyle w:val="FootnoteReference"/>
        </w:rPr>
        <w:footnoteRef/>
      </w:r>
      <w:r>
        <w:t xml:space="preserve"> </w:t>
      </w:r>
      <w:r w:rsidRPr="00143BC5">
        <w:t>Food and Agriculture Organi</w:t>
      </w:r>
      <w:r>
        <w:t>z</w:t>
      </w:r>
      <w:r w:rsidRPr="00143BC5">
        <w:t>ation</w:t>
      </w:r>
      <w:r w:rsidRPr="0047706B">
        <w:t xml:space="preserve">, </w:t>
      </w:r>
      <w:r w:rsidRPr="00143BC5">
        <w:rPr>
          <w:i/>
        </w:rPr>
        <w:t>Land Revenue Act, 2034</w:t>
      </w:r>
      <w:r w:rsidRPr="0047706B">
        <w:t xml:space="preserve"> (19</w:t>
      </w:r>
      <w:r w:rsidRPr="00143BC5">
        <w:t>78</w:t>
      </w:r>
      <w:r w:rsidRPr="0047706B">
        <w:t>)</w:t>
      </w:r>
      <w:r w:rsidRPr="00143BC5">
        <w:t xml:space="preserve"> &lt;http://www.fao.org/faolex/results/details/en/c/LEX-FAOC107986&gt;</w:t>
      </w:r>
      <w:r w:rsidRPr="0047706B">
        <w:t>.</w:t>
      </w:r>
    </w:p>
    <w:p w14:paraId="658E5587" w14:textId="77777777" w:rsidR="00606116" w:rsidRDefault="00606116" w:rsidP="00957971">
      <w:pPr>
        <w:pStyle w:val="FootnoteText"/>
      </w:pPr>
      <w:r>
        <w:t xml:space="preserve">Nepal Law Commission, </w:t>
      </w:r>
      <w:r w:rsidRPr="00143BC5">
        <w:rPr>
          <w:i/>
          <w:lang w:val="en-US"/>
        </w:rPr>
        <w:t>Citizenship Act</w:t>
      </w:r>
      <w:r>
        <w:rPr>
          <w:i/>
          <w:lang w:val="en-US"/>
        </w:rPr>
        <w:t>,</w:t>
      </w:r>
      <w:r w:rsidRPr="00143BC5">
        <w:rPr>
          <w:i/>
          <w:lang w:val="en-US"/>
        </w:rPr>
        <w:t xml:space="preserve"> 2063 </w:t>
      </w:r>
      <w:r w:rsidRPr="00143BC5">
        <w:rPr>
          <w:lang w:val="en-US"/>
        </w:rPr>
        <w:t>(2006)</w:t>
      </w:r>
      <w:r>
        <w:rPr>
          <w:lang w:val="en-US"/>
        </w:rPr>
        <w:t xml:space="preserve"> ss 3–5 &lt;</w:t>
      </w:r>
      <w:r w:rsidRPr="00143BC5">
        <w:t>http://www.lawcommission.gov.np/en/archives/category/documents/prevailing-law/statutes-acts/nepal-citizenship-act-2063-2006</w:t>
      </w:r>
      <w:r>
        <w:t xml:space="preserve">&gt; </w:t>
      </w:r>
      <w:r>
        <w:rPr>
          <w:lang w:val="en-US"/>
        </w:rPr>
        <w:t>.</w:t>
      </w:r>
    </w:p>
  </w:footnote>
  <w:footnote w:id="124">
    <w:p w14:paraId="4A3739B1" w14:textId="0B2167B7" w:rsidR="00606116" w:rsidRDefault="00606116">
      <w:pPr>
        <w:pStyle w:val="FootnoteText"/>
      </w:pPr>
      <w:r>
        <w:rPr>
          <w:rStyle w:val="FootnoteReference"/>
        </w:rPr>
        <w:footnoteRef/>
      </w:r>
      <w:r>
        <w:t xml:space="preserve"> </w:t>
      </w:r>
      <w:r>
        <w:rPr>
          <w:lang w:val="en-US"/>
        </w:rPr>
        <w:t>Constitution art 11.</w:t>
      </w:r>
    </w:p>
  </w:footnote>
  <w:footnote w:id="125">
    <w:p w14:paraId="0FDDD647" w14:textId="77777777" w:rsidR="00606116" w:rsidRPr="00070F6C" w:rsidRDefault="00606116" w:rsidP="00CB4058">
      <w:pPr>
        <w:pStyle w:val="FootnoteText"/>
        <w:rPr>
          <w:lang w:val="en-US"/>
        </w:rPr>
      </w:pPr>
      <w:r>
        <w:rPr>
          <w:rStyle w:val="FootnoteReference"/>
        </w:rPr>
        <w:footnoteRef/>
      </w:r>
      <w:r>
        <w:t xml:space="preserve"> </w:t>
      </w:r>
      <w:r>
        <w:rPr>
          <w:lang w:val="en-US"/>
        </w:rPr>
        <w:t>Citizenship Act s 3(3).</w:t>
      </w:r>
    </w:p>
  </w:footnote>
  <w:footnote w:id="126">
    <w:p w14:paraId="4700A1F7" w14:textId="72381E6A" w:rsidR="00606116" w:rsidRPr="0010130D" w:rsidRDefault="00606116" w:rsidP="00E67EA9">
      <w:pPr>
        <w:pStyle w:val="FootnoteText"/>
        <w:rPr>
          <w:lang w:val="en-US"/>
        </w:rPr>
      </w:pPr>
      <w:r>
        <w:rPr>
          <w:rStyle w:val="FootnoteReference"/>
        </w:rPr>
        <w:footnoteRef/>
      </w:r>
      <w:r>
        <w:t xml:space="preserve"> </w:t>
      </w:r>
      <w:r w:rsidRPr="00FD7306">
        <w:rPr>
          <w:i/>
        </w:rPr>
        <w:t>Reconstruction of Earthquake Affected Structures Act, 2072</w:t>
      </w:r>
      <w:r w:rsidRPr="00FD7306">
        <w:rPr>
          <w:lang w:val="en-US"/>
        </w:rPr>
        <w:t xml:space="preserve"> (2015)</w:t>
      </w:r>
      <w:r>
        <w:rPr>
          <w:lang w:val="en-US"/>
        </w:rPr>
        <w:t xml:space="preserve"> preamble. An English translation of this Act is not available online. </w:t>
      </w:r>
    </w:p>
  </w:footnote>
  <w:footnote w:id="127">
    <w:p w14:paraId="7E525ADE" w14:textId="129A61AD" w:rsidR="00606116" w:rsidRPr="00FD7306" w:rsidRDefault="00606116" w:rsidP="00E67EA9">
      <w:pPr>
        <w:pStyle w:val="FootnoteText"/>
        <w:rPr>
          <w:lang w:val="en-US"/>
        </w:rPr>
      </w:pPr>
      <w:r>
        <w:rPr>
          <w:rStyle w:val="FootnoteReference"/>
        </w:rPr>
        <w:footnoteRef/>
      </w:r>
      <w:r>
        <w:t xml:space="preserve"> </w:t>
      </w:r>
      <w:bookmarkStart w:id="81" w:name="_Hlk8913583"/>
      <w:r w:rsidRPr="00FD7306">
        <w:rPr>
          <w:i/>
          <w:lang w:val="en-US"/>
        </w:rPr>
        <w:t>Vulnerable Group Earthquake Affected Beneficiary Identification Procedure, 2074</w:t>
      </w:r>
      <w:r>
        <w:rPr>
          <w:i/>
          <w:lang w:val="en-US"/>
        </w:rPr>
        <w:t xml:space="preserve"> </w:t>
      </w:r>
      <w:r>
        <w:rPr>
          <w:lang w:val="en-US"/>
        </w:rPr>
        <w:t>(2018)</w:t>
      </w:r>
      <w:bookmarkEnd w:id="81"/>
      <w:r>
        <w:rPr>
          <w:lang w:val="en-US"/>
        </w:rPr>
        <w:t xml:space="preserve"> s 3(1). An English translation of this Act is not available online.</w:t>
      </w:r>
    </w:p>
  </w:footnote>
  <w:footnote w:id="128">
    <w:p w14:paraId="3874E432" w14:textId="2D33745E" w:rsidR="00606116" w:rsidRPr="0010130D" w:rsidRDefault="00606116" w:rsidP="00E67EA9">
      <w:pPr>
        <w:pStyle w:val="FootnoteText"/>
        <w:rPr>
          <w:lang w:val="en-US"/>
        </w:rPr>
      </w:pPr>
      <w:r>
        <w:rPr>
          <w:rStyle w:val="FootnoteReference"/>
        </w:rPr>
        <w:footnoteRef/>
      </w:r>
      <w:r>
        <w:t xml:space="preserve"> </w:t>
      </w:r>
      <w:r w:rsidRPr="00143BC5">
        <w:rPr>
          <w:i/>
          <w:lang w:val="en-US"/>
        </w:rPr>
        <w:t>Vulnerable Group Earthquake Affected Beneficiary Identification Procedure, 2074</w:t>
      </w:r>
      <w:r>
        <w:rPr>
          <w:i/>
          <w:lang w:val="en-US"/>
        </w:rPr>
        <w:t xml:space="preserve"> </w:t>
      </w:r>
      <w:r>
        <w:rPr>
          <w:lang w:val="en-US"/>
        </w:rPr>
        <w:t>(2018) s 5(1).</w:t>
      </w:r>
    </w:p>
  </w:footnote>
  <w:footnote w:id="129">
    <w:p w14:paraId="26512F4D" w14:textId="5AC22D18"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Constitution</w:t>
      </w:r>
      <w:r w:rsidRPr="00AA7259">
        <w:rPr>
          <w:rFonts w:cs="Arial"/>
          <w:szCs w:val="16"/>
        </w:rPr>
        <w:t xml:space="preserve"> </w:t>
      </w:r>
      <w:r>
        <w:rPr>
          <w:rFonts w:cs="Arial"/>
          <w:szCs w:val="16"/>
        </w:rPr>
        <w:t>art 37 (</w:t>
      </w:r>
      <w:r w:rsidRPr="00AA7259">
        <w:rPr>
          <w:rFonts w:cs="Arial"/>
          <w:szCs w:val="16"/>
        </w:rPr>
        <w:t>P</w:t>
      </w:r>
      <w:r>
        <w:rPr>
          <w:rFonts w:cs="Arial"/>
          <w:szCs w:val="16"/>
        </w:rPr>
        <w:t>t</w:t>
      </w:r>
      <w:r w:rsidRPr="00AA7259">
        <w:rPr>
          <w:rFonts w:cs="Arial"/>
          <w:szCs w:val="16"/>
        </w:rPr>
        <w:t xml:space="preserve"> </w:t>
      </w:r>
      <w:r>
        <w:rPr>
          <w:rFonts w:cs="Arial"/>
          <w:szCs w:val="16"/>
        </w:rPr>
        <w:t>3 Fundamental Rights and Duties).</w:t>
      </w:r>
    </w:p>
  </w:footnote>
  <w:footnote w:id="130">
    <w:p w14:paraId="139071F2" w14:textId="11CA1DB8"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Constitution art 40(5).</w:t>
      </w:r>
    </w:p>
  </w:footnote>
  <w:footnote w:id="131">
    <w:p w14:paraId="277003A4" w14:textId="46941ED0"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Constitution art</w:t>
      </w:r>
      <w:r w:rsidRPr="00AA7259">
        <w:rPr>
          <w:rFonts w:cs="Arial"/>
          <w:szCs w:val="16"/>
        </w:rPr>
        <w:t xml:space="preserve"> 51(i)(6). </w:t>
      </w:r>
    </w:p>
  </w:footnote>
  <w:footnote w:id="132">
    <w:p w14:paraId="0F48834C" w14:textId="6422ECAA"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Government of Nepal, </w:t>
      </w:r>
      <w:r w:rsidRPr="00D7547B">
        <w:rPr>
          <w:rFonts w:cs="Arial"/>
          <w:i/>
          <w:szCs w:val="16"/>
        </w:rPr>
        <w:t>Land Use Policy</w:t>
      </w:r>
      <w:r>
        <w:rPr>
          <w:rFonts w:cs="Arial"/>
          <w:i/>
          <w:szCs w:val="16"/>
        </w:rPr>
        <w:t>,</w:t>
      </w:r>
      <w:r w:rsidRPr="00D7547B">
        <w:rPr>
          <w:rFonts w:cs="Arial"/>
          <w:i/>
          <w:szCs w:val="16"/>
        </w:rPr>
        <w:t xml:space="preserve"> 2072</w:t>
      </w:r>
      <w:r w:rsidRPr="00AA7259">
        <w:rPr>
          <w:rFonts w:cs="Arial"/>
          <w:szCs w:val="16"/>
        </w:rPr>
        <w:t xml:space="preserve"> (2015)</w:t>
      </w:r>
      <w:r>
        <w:rPr>
          <w:rFonts w:cs="Arial"/>
          <w:szCs w:val="16"/>
        </w:rPr>
        <w:t xml:space="preserve"> </w:t>
      </w:r>
      <w:r w:rsidRPr="00AA7259">
        <w:rPr>
          <w:rFonts w:cs="Arial"/>
          <w:szCs w:val="16"/>
        </w:rPr>
        <w:t xml:space="preserve">10 </w:t>
      </w:r>
      <w:r>
        <w:rPr>
          <w:rFonts w:cs="Arial"/>
          <w:szCs w:val="16"/>
        </w:rPr>
        <w:t>(u</w:t>
      </w:r>
      <w:r w:rsidRPr="00AA7259">
        <w:rPr>
          <w:rFonts w:cs="Arial"/>
          <w:szCs w:val="16"/>
        </w:rPr>
        <w:t>npublished</w:t>
      </w:r>
      <w:r>
        <w:rPr>
          <w:rFonts w:cs="Arial"/>
          <w:szCs w:val="16"/>
        </w:rPr>
        <w:t>)</w:t>
      </w:r>
      <w:r w:rsidRPr="00AA7259">
        <w:rPr>
          <w:rFonts w:cs="Arial"/>
          <w:szCs w:val="16"/>
        </w:rPr>
        <w:t xml:space="preserve">. </w:t>
      </w:r>
    </w:p>
  </w:footnote>
  <w:footnote w:id="133">
    <w:p w14:paraId="6BE1B07B" w14:textId="293B40BD"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sidRPr="000C3205">
        <w:rPr>
          <w:rFonts w:cs="Arial"/>
          <w:szCs w:val="16"/>
        </w:rPr>
        <w:t xml:space="preserve">Agathe Nougaret and Ram Danuwar, </w:t>
      </w:r>
      <w:r w:rsidRPr="000C3205">
        <w:rPr>
          <w:rFonts w:cs="Arial"/>
          <w:i/>
          <w:szCs w:val="16"/>
        </w:rPr>
        <w:t>Housing, Land and Property Issues in Nepal: And their Consequences for the Post-Earthquake Reconstruction process</w:t>
      </w:r>
      <w:r w:rsidRPr="000C3205">
        <w:rPr>
          <w:rFonts w:cs="Arial"/>
          <w:szCs w:val="16"/>
        </w:rPr>
        <w:t xml:space="preserve"> (2016) </w:t>
      </w:r>
      <w:r>
        <w:rPr>
          <w:rFonts w:cs="Arial"/>
          <w:szCs w:val="16"/>
        </w:rPr>
        <w:t>16</w:t>
      </w:r>
      <w:r w:rsidRPr="000C3205">
        <w:rPr>
          <w:rFonts w:cs="Arial"/>
          <w:szCs w:val="16"/>
        </w:rPr>
        <w:t xml:space="preserve"> &lt;https://insights.careinternational.org.uk/publications/housing-land-and-property-issues-in-nepal-and-their-consequences-for-the-post-earthquake-reconstruction-process&gt;.</w:t>
      </w:r>
      <w:r w:rsidRPr="00AA7259">
        <w:rPr>
          <w:rFonts w:cs="Arial"/>
          <w:szCs w:val="16"/>
        </w:rPr>
        <w:t xml:space="preserve"> </w:t>
      </w:r>
    </w:p>
  </w:footnote>
  <w:footnote w:id="134">
    <w:p w14:paraId="4C3C4F86" w14:textId="3CE74BAB"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84" w:name="_Hlk8909577"/>
      <w:r>
        <w:rPr>
          <w:rFonts w:cs="Arial"/>
          <w:szCs w:val="16"/>
        </w:rPr>
        <w:t xml:space="preserve">Ruth </w:t>
      </w:r>
      <w:r w:rsidRPr="00AA7259">
        <w:rPr>
          <w:rFonts w:cs="Arial"/>
          <w:szCs w:val="16"/>
        </w:rPr>
        <w:t>Jackson,</w:t>
      </w:r>
      <w:r>
        <w:rPr>
          <w:rFonts w:cs="Arial"/>
          <w:szCs w:val="16"/>
        </w:rPr>
        <w:t xml:space="preserve"> Daniel Fitzpatrick and</w:t>
      </w:r>
      <w:r w:rsidRPr="00AA7259">
        <w:rPr>
          <w:rFonts w:cs="Arial"/>
          <w:szCs w:val="16"/>
        </w:rPr>
        <w:t xml:space="preserve"> Prabin Man Singh, </w:t>
      </w:r>
      <w:r w:rsidRPr="00AA7259">
        <w:rPr>
          <w:rFonts w:cs="Arial"/>
          <w:i/>
          <w:szCs w:val="16"/>
        </w:rPr>
        <w:t xml:space="preserve">Building Back Right: Ensuring </w:t>
      </w:r>
      <w:r>
        <w:rPr>
          <w:rFonts w:cs="Arial"/>
          <w:i/>
          <w:szCs w:val="16"/>
        </w:rPr>
        <w:t>E</w:t>
      </w:r>
      <w:r w:rsidRPr="00AA7259">
        <w:rPr>
          <w:rFonts w:cs="Arial"/>
          <w:i/>
          <w:szCs w:val="16"/>
        </w:rPr>
        <w:t xml:space="preserve">quality in </w:t>
      </w:r>
      <w:r>
        <w:rPr>
          <w:rFonts w:cs="Arial"/>
          <w:i/>
          <w:szCs w:val="16"/>
        </w:rPr>
        <w:t>L</w:t>
      </w:r>
      <w:r w:rsidRPr="00AA7259">
        <w:rPr>
          <w:rFonts w:cs="Arial"/>
          <w:i/>
          <w:szCs w:val="16"/>
        </w:rPr>
        <w:t xml:space="preserve">and </w:t>
      </w:r>
      <w:r>
        <w:rPr>
          <w:rFonts w:cs="Arial"/>
          <w:i/>
          <w:szCs w:val="16"/>
        </w:rPr>
        <w:t>R</w:t>
      </w:r>
      <w:r w:rsidRPr="00AA7259">
        <w:rPr>
          <w:rFonts w:cs="Arial"/>
          <w:i/>
          <w:szCs w:val="16"/>
        </w:rPr>
        <w:t xml:space="preserve">ights and </w:t>
      </w:r>
      <w:r>
        <w:rPr>
          <w:rFonts w:cs="Arial"/>
          <w:i/>
          <w:szCs w:val="16"/>
        </w:rPr>
        <w:t>R</w:t>
      </w:r>
      <w:r w:rsidRPr="00AA7259">
        <w:rPr>
          <w:rFonts w:cs="Arial"/>
          <w:i/>
          <w:szCs w:val="16"/>
        </w:rPr>
        <w:t>econstruction in Nepal</w:t>
      </w:r>
      <w:r w:rsidRPr="00AA7259">
        <w:rPr>
          <w:rFonts w:cs="Arial"/>
          <w:szCs w:val="16"/>
        </w:rPr>
        <w:t xml:space="preserve"> (2016) 21</w:t>
      </w:r>
      <w:r>
        <w:rPr>
          <w:rFonts w:cs="Arial"/>
          <w:szCs w:val="16"/>
        </w:rPr>
        <w:t xml:space="preserve"> &lt;</w:t>
      </w:r>
      <w:r w:rsidRPr="00FD7306">
        <w:t>https://www.oxfam.org/sites/www.oxfam.org/files/file_attachments/bp-building-back-right-nepal-210416-en.pdf</w:t>
      </w:r>
      <w:r>
        <w:t>&gt;</w:t>
      </w:r>
      <w:bookmarkEnd w:id="84"/>
      <w:r w:rsidRPr="00AA7259">
        <w:rPr>
          <w:rFonts w:cs="Arial"/>
          <w:szCs w:val="16"/>
        </w:rPr>
        <w:t xml:space="preserve">. </w:t>
      </w:r>
    </w:p>
  </w:footnote>
  <w:footnote w:id="135">
    <w:p w14:paraId="40C3B6CC" w14:textId="0C6F98E5"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sidRPr="000C3205">
        <w:rPr>
          <w:rFonts w:cs="Arial"/>
          <w:szCs w:val="16"/>
        </w:rPr>
        <w:t xml:space="preserve">Agathe Nougaret and Ram Danuwar, </w:t>
      </w:r>
      <w:r w:rsidRPr="000C3205">
        <w:rPr>
          <w:rFonts w:cs="Arial"/>
          <w:i/>
          <w:szCs w:val="16"/>
        </w:rPr>
        <w:t>Housing, Land and Property Issues in Nepal: And their Consequences for the Post-Earthquake Reconstruction process</w:t>
      </w:r>
      <w:r w:rsidRPr="000C3205">
        <w:rPr>
          <w:rFonts w:cs="Arial"/>
          <w:szCs w:val="16"/>
        </w:rPr>
        <w:t xml:space="preserve"> (2016) </w:t>
      </w:r>
      <w:r>
        <w:rPr>
          <w:rFonts w:cs="Arial"/>
          <w:szCs w:val="16"/>
        </w:rPr>
        <w:t>16</w:t>
      </w:r>
      <w:r w:rsidRPr="000C3205">
        <w:rPr>
          <w:rFonts w:cs="Arial"/>
          <w:szCs w:val="16"/>
        </w:rPr>
        <w:t xml:space="preserve"> &lt;https://insights.careinternational.org.uk/publications/housing-land-and-property-issues-in-nepal-and-their-consequences-for-the-post-earthquake-reconstruction-process&gt;.</w:t>
      </w:r>
      <w:r w:rsidRPr="00AA7259">
        <w:rPr>
          <w:rFonts w:cs="Arial"/>
          <w:szCs w:val="16"/>
        </w:rPr>
        <w:t xml:space="preserve">  </w:t>
      </w:r>
    </w:p>
  </w:footnote>
  <w:footnote w:id="136">
    <w:p w14:paraId="2F489843" w14:textId="30494583"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sidRPr="000C3205">
        <w:rPr>
          <w:rFonts w:cs="Arial"/>
          <w:szCs w:val="16"/>
        </w:rPr>
        <w:t xml:space="preserve">Agathe Nougaret and Ram Danuwar, </w:t>
      </w:r>
      <w:r w:rsidRPr="000C3205">
        <w:rPr>
          <w:rFonts w:cs="Arial"/>
          <w:i/>
          <w:szCs w:val="16"/>
        </w:rPr>
        <w:t>Housing, Land and Property Issues in Nepal: And their Consequences for the Post-Earthquake Reconstruction process</w:t>
      </w:r>
      <w:r w:rsidRPr="000C3205">
        <w:rPr>
          <w:rFonts w:cs="Arial"/>
          <w:szCs w:val="16"/>
        </w:rPr>
        <w:t xml:space="preserve"> (2016) </w:t>
      </w:r>
      <w:r>
        <w:rPr>
          <w:rFonts w:cs="Arial"/>
          <w:szCs w:val="16"/>
        </w:rPr>
        <w:t>16</w:t>
      </w:r>
      <w:r w:rsidRPr="000C3205">
        <w:rPr>
          <w:rFonts w:cs="Arial"/>
          <w:szCs w:val="16"/>
        </w:rPr>
        <w:t xml:space="preserve"> &lt;https://insights.careinternational.org.uk/publications/housing-land-and-property-issues-in-nepal-and-their-consequences-for-the-post-earthquake-reconstruction-process&gt;.</w:t>
      </w:r>
    </w:p>
  </w:footnote>
  <w:footnote w:id="137">
    <w:p w14:paraId="0F060840" w14:textId="25FB2E6D"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 xml:space="preserve">Ruth </w:t>
      </w:r>
      <w:r w:rsidRPr="00AA7259">
        <w:rPr>
          <w:rFonts w:cs="Arial"/>
          <w:szCs w:val="16"/>
        </w:rPr>
        <w:t>Jackson,</w:t>
      </w:r>
      <w:r>
        <w:rPr>
          <w:rFonts w:cs="Arial"/>
          <w:szCs w:val="16"/>
        </w:rPr>
        <w:t xml:space="preserve"> Daniel Fitzpatrick and</w:t>
      </w:r>
      <w:r w:rsidRPr="00AA7259">
        <w:rPr>
          <w:rFonts w:cs="Arial"/>
          <w:szCs w:val="16"/>
        </w:rPr>
        <w:t xml:space="preserve"> Prabin Man Singh, </w:t>
      </w:r>
      <w:r w:rsidRPr="00AA7259">
        <w:rPr>
          <w:rFonts w:cs="Arial"/>
          <w:i/>
          <w:szCs w:val="16"/>
        </w:rPr>
        <w:t xml:space="preserve">Building Back Right: Ensuring </w:t>
      </w:r>
      <w:r>
        <w:rPr>
          <w:rFonts w:cs="Arial"/>
          <w:i/>
          <w:szCs w:val="16"/>
        </w:rPr>
        <w:t>E</w:t>
      </w:r>
      <w:r w:rsidRPr="00AA7259">
        <w:rPr>
          <w:rFonts w:cs="Arial"/>
          <w:i/>
          <w:szCs w:val="16"/>
        </w:rPr>
        <w:t xml:space="preserve">quality in </w:t>
      </w:r>
      <w:r>
        <w:rPr>
          <w:rFonts w:cs="Arial"/>
          <w:i/>
          <w:szCs w:val="16"/>
        </w:rPr>
        <w:t>L</w:t>
      </w:r>
      <w:r w:rsidRPr="00AA7259">
        <w:rPr>
          <w:rFonts w:cs="Arial"/>
          <w:i/>
          <w:szCs w:val="16"/>
        </w:rPr>
        <w:t xml:space="preserve">and </w:t>
      </w:r>
      <w:r>
        <w:rPr>
          <w:rFonts w:cs="Arial"/>
          <w:i/>
          <w:szCs w:val="16"/>
        </w:rPr>
        <w:t>R</w:t>
      </w:r>
      <w:r w:rsidRPr="00AA7259">
        <w:rPr>
          <w:rFonts w:cs="Arial"/>
          <w:i/>
          <w:szCs w:val="16"/>
        </w:rPr>
        <w:t xml:space="preserve">ights and </w:t>
      </w:r>
      <w:r>
        <w:rPr>
          <w:rFonts w:cs="Arial"/>
          <w:i/>
          <w:szCs w:val="16"/>
        </w:rPr>
        <w:t>R</w:t>
      </w:r>
      <w:r w:rsidRPr="00AA7259">
        <w:rPr>
          <w:rFonts w:cs="Arial"/>
          <w:i/>
          <w:szCs w:val="16"/>
        </w:rPr>
        <w:t>econstruction in Nepal</w:t>
      </w:r>
      <w:r w:rsidRPr="00AA7259">
        <w:rPr>
          <w:rFonts w:cs="Arial"/>
          <w:szCs w:val="16"/>
        </w:rPr>
        <w:t xml:space="preserve"> (2016) </w:t>
      </w:r>
      <w:r>
        <w:rPr>
          <w:rFonts w:cs="Arial"/>
          <w:szCs w:val="16"/>
        </w:rPr>
        <w:t>14 &lt;</w:t>
      </w:r>
      <w:r w:rsidRPr="00143BC5">
        <w:t>https://www.oxfam.org/sites/www.oxfam.org/files/file_attachments/bp-building-back-right-nepal-210416-en.pdf</w:t>
      </w:r>
      <w:r>
        <w:t>&gt;</w:t>
      </w:r>
      <w:r w:rsidRPr="00AA7259">
        <w:rPr>
          <w:rFonts w:cs="Arial"/>
          <w:szCs w:val="16"/>
        </w:rPr>
        <w:t xml:space="preserve">. </w:t>
      </w:r>
    </w:p>
  </w:footnote>
  <w:footnote w:id="138">
    <w:p w14:paraId="757744C8" w14:textId="0CEC8983" w:rsidR="00606116" w:rsidRDefault="00606116" w:rsidP="00021297">
      <w:pPr>
        <w:pStyle w:val="FootnoteText"/>
      </w:pPr>
      <w:r>
        <w:rPr>
          <w:rStyle w:val="FootnoteReference"/>
        </w:rPr>
        <w:footnoteRef/>
      </w:r>
      <w:r>
        <w:t xml:space="preserve"> </w:t>
      </w:r>
      <w:r w:rsidRPr="00857055">
        <w:t xml:space="preserve">Department of Foreign Affairs and Trade, </w:t>
      </w:r>
      <w:r w:rsidRPr="00857055">
        <w:rPr>
          <w:i/>
        </w:rPr>
        <w:t xml:space="preserve">DFAT Country Information Report: Nepal </w:t>
      </w:r>
      <w:r w:rsidRPr="00857055">
        <w:t>(21 April 2016) &lt;http://dfat.gov.au/about-us/publications/Documents/country-information-report-nepal.pdf&gt;.</w:t>
      </w:r>
    </w:p>
  </w:footnote>
  <w:footnote w:id="139">
    <w:p w14:paraId="7B969C12" w14:textId="62382E5B"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Constitution</w:t>
      </w:r>
      <w:r>
        <w:rPr>
          <w:rFonts w:cs="Arial"/>
          <w:szCs w:val="16"/>
        </w:rPr>
        <w:t xml:space="preserve"> art </w:t>
      </w:r>
      <w:r w:rsidRPr="00AA7259">
        <w:rPr>
          <w:rFonts w:cs="Arial"/>
          <w:szCs w:val="16"/>
        </w:rPr>
        <w:t xml:space="preserve">25. </w:t>
      </w:r>
    </w:p>
  </w:footnote>
  <w:footnote w:id="140">
    <w:p w14:paraId="5BEE62A3" w14:textId="77777777"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Landlinks,</w:t>
      </w:r>
      <w:r w:rsidRPr="00AA7259">
        <w:rPr>
          <w:rFonts w:cs="Arial"/>
          <w:i/>
          <w:szCs w:val="16"/>
        </w:rPr>
        <w:t xml:space="preserve"> Nepal</w:t>
      </w:r>
      <w:r w:rsidRPr="00AA7259">
        <w:rPr>
          <w:rFonts w:cs="Arial"/>
          <w:szCs w:val="16"/>
        </w:rPr>
        <w:t xml:space="preserve"> (2017) &lt;https://land-links.org/country-profile/nepal-2</w:t>
      </w:r>
      <w:r>
        <w:rPr>
          <w:rFonts w:cs="Arial"/>
          <w:szCs w:val="16"/>
        </w:rPr>
        <w:t>&gt;</w:t>
      </w:r>
      <w:r w:rsidRPr="00AA7259">
        <w:rPr>
          <w:rFonts w:cs="Arial"/>
          <w:szCs w:val="16"/>
        </w:rPr>
        <w:t xml:space="preserve">. </w:t>
      </w:r>
    </w:p>
  </w:footnote>
  <w:footnote w:id="141">
    <w:p w14:paraId="634AEA0B" w14:textId="20573273"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Landlinks,</w:t>
      </w:r>
      <w:r w:rsidRPr="00AA7259">
        <w:rPr>
          <w:rFonts w:cs="Arial"/>
          <w:i/>
          <w:szCs w:val="16"/>
        </w:rPr>
        <w:t xml:space="preserve"> Nepal</w:t>
      </w:r>
      <w:r w:rsidRPr="00AA7259">
        <w:rPr>
          <w:rFonts w:cs="Arial"/>
          <w:szCs w:val="16"/>
        </w:rPr>
        <w:t xml:space="preserve"> (2017) &lt;https://land-links.org/country-profile/nepal-2</w:t>
      </w:r>
      <w:r>
        <w:rPr>
          <w:rFonts w:cs="Arial"/>
          <w:szCs w:val="16"/>
        </w:rPr>
        <w:t>&gt;</w:t>
      </w:r>
      <w:r w:rsidRPr="00AA7259">
        <w:rPr>
          <w:rFonts w:cs="Arial"/>
          <w:szCs w:val="16"/>
        </w:rPr>
        <w:t xml:space="preserve">. </w:t>
      </w:r>
    </w:p>
  </w:footnote>
  <w:footnote w:id="142">
    <w:p w14:paraId="4C01983D" w14:textId="4C373401"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Landlinks,</w:t>
      </w:r>
      <w:r w:rsidRPr="00AA7259">
        <w:rPr>
          <w:rFonts w:cs="Arial"/>
          <w:i/>
          <w:szCs w:val="16"/>
        </w:rPr>
        <w:t xml:space="preserve"> Nepal</w:t>
      </w:r>
      <w:r w:rsidRPr="00AA7259">
        <w:rPr>
          <w:rFonts w:cs="Arial"/>
          <w:szCs w:val="16"/>
        </w:rPr>
        <w:t xml:space="preserve"> (2017) &lt;https://land-links.org/country-profile/nepal-2</w:t>
      </w:r>
      <w:r>
        <w:rPr>
          <w:rFonts w:cs="Arial"/>
          <w:szCs w:val="16"/>
        </w:rPr>
        <w:t>&gt;</w:t>
      </w:r>
      <w:r w:rsidRPr="00AA7259">
        <w:rPr>
          <w:rFonts w:cs="Arial"/>
          <w:szCs w:val="16"/>
        </w:rPr>
        <w:t xml:space="preserve">. </w:t>
      </w:r>
    </w:p>
  </w:footnote>
  <w:footnote w:id="143">
    <w:p w14:paraId="743A39BE" w14:textId="3F6D08E0"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sidRPr="000C3205">
        <w:rPr>
          <w:rFonts w:cs="Arial"/>
          <w:szCs w:val="16"/>
        </w:rPr>
        <w:t xml:space="preserve">Agathe Nougaret and Ram Danuwar, </w:t>
      </w:r>
      <w:r w:rsidRPr="000C3205">
        <w:rPr>
          <w:rFonts w:cs="Arial"/>
          <w:i/>
          <w:szCs w:val="16"/>
        </w:rPr>
        <w:t>Housing, Land and Property Issues in Nepal: And their Consequences for the Post-Earthquake Reconstruction process</w:t>
      </w:r>
      <w:r w:rsidRPr="000C3205">
        <w:rPr>
          <w:rFonts w:cs="Arial"/>
          <w:szCs w:val="16"/>
        </w:rPr>
        <w:t xml:space="preserve"> (2016) </w:t>
      </w:r>
      <w:r>
        <w:rPr>
          <w:rFonts w:cs="Arial"/>
          <w:szCs w:val="16"/>
        </w:rPr>
        <w:t>14</w:t>
      </w:r>
      <w:r w:rsidRPr="000C3205">
        <w:rPr>
          <w:rFonts w:cs="Arial"/>
          <w:szCs w:val="16"/>
        </w:rPr>
        <w:t xml:space="preserve"> &lt;https://insights.careinternational.org.uk/publications/housing-land-and-property-issues-in-nepal-and-their-consequences-for-the-post-earthquake-reconstruction-process&gt;.</w:t>
      </w:r>
    </w:p>
  </w:footnote>
  <w:footnote w:id="144">
    <w:p w14:paraId="78C62934" w14:textId="77777777"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Landlinks,</w:t>
      </w:r>
      <w:r w:rsidRPr="00AA7259">
        <w:rPr>
          <w:rFonts w:cs="Arial"/>
          <w:i/>
          <w:szCs w:val="16"/>
        </w:rPr>
        <w:t xml:space="preserve"> Nepal</w:t>
      </w:r>
      <w:r w:rsidRPr="00AA7259">
        <w:rPr>
          <w:rFonts w:cs="Arial"/>
          <w:szCs w:val="16"/>
        </w:rPr>
        <w:t xml:space="preserve"> (2017) &lt;https://land-links.org/country-profile/nepal-2</w:t>
      </w:r>
      <w:r>
        <w:rPr>
          <w:rFonts w:cs="Arial"/>
          <w:szCs w:val="16"/>
        </w:rPr>
        <w:t>&gt;</w:t>
      </w:r>
      <w:r w:rsidRPr="00AA7259">
        <w:rPr>
          <w:rFonts w:cs="Arial"/>
          <w:szCs w:val="16"/>
        </w:rPr>
        <w:t xml:space="preserve">. </w:t>
      </w:r>
    </w:p>
  </w:footnote>
  <w:footnote w:id="145">
    <w:p w14:paraId="6527A168" w14:textId="54FA5A68"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Landlinks,</w:t>
      </w:r>
      <w:r w:rsidRPr="00AA7259">
        <w:rPr>
          <w:rFonts w:cs="Arial"/>
          <w:i/>
          <w:szCs w:val="16"/>
        </w:rPr>
        <w:t xml:space="preserve"> Nepal</w:t>
      </w:r>
      <w:r w:rsidRPr="00AA7259">
        <w:rPr>
          <w:rFonts w:cs="Arial"/>
          <w:szCs w:val="16"/>
        </w:rPr>
        <w:t xml:space="preserve"> (2017) &lt;https://land-links.org/country-profile/nepal-2</w:t>
      </w:r>
      <w:r>
        <w:rPr>
          <w:rFonts w:cs="Arial"/>
          <w:szCs w:val="16"/>
        </w:rPr>
        <w:t>&gt;</w:t>
      </w:r>
      <w:r w:rsidRPr="00AA7259">
        <w:rPr>
          <w:rFonts w:cs="Arial"/>
          <w:szCs w:val="16"/>
        </w:rPr>
        <w:t xml:space="preserve">. </w:t>
      </w:r>
    </w:p>
  </w:footnote>
  <w:footnote w:id="146">
    <w:p w14:paraId="3C67F3D0" w14:textId="236B2A3D"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sidRPr="000C3205">
        <w:rPr>
          <w:rFonts w:cs="Arial"/>
          <w:szCs w:val="16"/>
        </w:rPr>
        <w:t xml:space="preserve">Agathe Nougaret and Ram Danuwar, </w:t>
      </w:r>
      <w:r w:rsidRPr="000C3205">
        <w:rPr>
          <w:rFonts w:cs="Arial"/>
          <w:i/>
          <w:szCs w:val="16"/>
        </w:rPr>
        <w:t>Housing, Land and Property Issues in Nepal: And their Consequences for the Post-Earthquake Reconstruction process</w:t>
      </w:r>
      <w:r w:rsidRPr="000C3205">
        <w:rPr>
          <w:rFonts w:cs="Arial"/>
          <w:szCs w:val="16"/>
        </w:rPr>
        <w:t xml:space="preserve"> (2016) </w:t>
      </w:r>
      <w:r>
        <w:rPr>
          <w:rFonts w:cs="Arial"/>
          <w:szCs w:val="16"/>
        </w:rPr>
        <w:t>17</w:t>
      </w:r>
      <w:r w:rsidRPr="000C3205">
        <w:rPr>
          <w:rFonts w:cs="Arial"/>
          <w:szCs w:val="16"/>
        </w:rPr>
        <w:t xml:space="preserve"> &lt;https://insights.careinternational.org.uk/publications/housing-land-and-property-issues-in-nepal-and-their-consequences-for-the-post-earthquake-reconstruction-process&gt;.</w:t>
      </w:r>
    </w:p>
  </w:footnote>
  <w:footnote w:id="147">
    <w:p w14:paraId="7B015504" w14:textId="6140338F"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Constitution</w:t>
      </w:r>
      <w:r w:rsidRPr="00AA7259">
        <w:rPr>
          <w:rFonts w:cs="Arial"/>
          <w:szCs w:val="16"/>
        </w:rPr>
        <w:t xml:space="preserve"> </w:t>
      </w:r>
      <w:r>
        <w:rPr>
          <w:rFonts w:cs="Arial"/>
          <w:szCs w:val="16"/>
        </w:rPr>
        <w:t>art</w:t>
      </w:r>
      <w:r w:rsidRPr="00AA7259">
        <w:rPr>
          <w:rFonts w:cs="Arial"/>
          <w:szCs w:val="16"/>
        </w:rPr>
        <w:t xml:space="preserve"> 25(2).</w:t>
      </w:r>
    </w:p>
  </w:footnote>
  <w:footnote w:id="148">
    <w:p w14:paraId="7D276E37" w14:textId="5EDE2306"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 xml:space="preserve">Land Acquisition Act ss </w:t>
      </w:r>
      <w:r w:rsidRPr="00AA7259">
        <w:rPr>
          <w:rFonts w:cs="Arial"/>
          <w:szCs w:val="16"/>
        </w:rPr>
        <w:t>3</w:t>
      </w:r>
      <w:r>
        <w:rPr>
          <w:rFonts w:cs="Arial"/>
          <w:szCs w:val="16"/>
        </w:rPr>
        <w:t>–</w:t>
      </w:r>
      <w:r w:rsidRPr="00AA7259">
        <w:rPr>
          <w:rFonts w:cs="Arial"/>
          <w:szCs w:val="16"/>
        </w:rPr>
        <w:t>4</w:t>
      </w:r>
      <w:r>
        <w:rPr>
          <w:rFonts w:cs="Arial"/>
          <w:szCs w:val="16"/>
        </w:rPr>
        <w:t>.</w:t>
      </w:r>
    </w:p>
  </w:footnote>
  <w:footnote w:id="149">
    <w:p w14:paraId="6CBC263E" w14:textId="0AF27A05"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 xml:space="preserve">Land Acquisition Act s </w:t>
      </w:r>
      <w:r w:rsidRPr="00AA7259">
        <w:rPr>
          <w:rFonts w:cs="Arial"/>
          <w:szCs w:val="16"/>
        </w:rPr>
        <w:t>9</w:t>
      </w:r>
      <w:r>
        <w:rPr>
          <w:rFonts w:cs="Arial"/>
          <w:szCs w:val="16"/>
        </w:rPr>
        <w:t>.</w:t>
      </w:r>
    </w:p>
  </w:footnote>
  <w:footnote w:id="150">
    <w:p w14:paraId="091418E1" w14:textId="133FC751"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 xml:space="preserve">Land Acquisition Act s </w:t>
      </w:r>
      <w:r w:rsidRPr="00AA7259">
        <w:rPr>
          <w:rFonts w:cs="Arial"/>
          <w:szCs w:val="16"/>
        </w:rPr>
        <w:t>11</w:t>
      </w:r>
      <w:r>
        <w:rPr>
          <w:rFonts w:cs="Arial"/>
          <w:szCs w:val="16"/>
        </w:rPr>
        <w:t>.</w:t>
      </w:r>
    </w:p>
  </w:footnote>
  <w:footnote w:id="151">
    <w:p w14:paraId="630B290E" w14:textId="10CE3C6E"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Land Acquisition Act s 11.</w:t>
      </w:r>
    </w:p>
  </w:footnote>
  <w:footnote w:id="152">
    <w:p w14:paraId="3E32FC91" w14:textId="52F0FECF"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 xml:space="preserve">Land Acquisition Act s </w:t>
      </w:r>
      <w:r w:rsidRPr="00AA7259">
        <w:rPr>
          <w:rFonts w:cs="Arial"/>
          <w:szCs w:val="16"/>
        </w:rPr>
        <w:t>12</w:t>
      </w:r>
      <w:r>
        <w:rPr>
          <w:rFonts w:cs="Arial"/>
          <w:szCs w:val="16"/>
        </w:rPr>
        <w:t>.</w:t>
      </w:r>
    </w:p>
  </w:footnote>
  <w:footnote w:id="153">
    <w:p w14:paraId="45101187" w14:textId="026C238B"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 xml:space="preserve">Land Acquisition Act s </w:t>
      </w:r>
      <w:r w:rsidRPr="00AA7259">
        <w:rPr>
          <w:rFonts w:cs="Arial"/>
          <w:szCs w:val="16"/>
        </w:rPr>
        <w:t>27</w:t>
      </w:r>
      <w:r>
        <w:rPr>
          <w:rFonts w:cs="Arial"/>
          <w:szCs w:val="16"/>
        </w:rPr>
        <w:t>.</w:t>
      </w:r>
    </w:p>
  </w:footnote>
  <w:footnote w:id="154">
    <w:p w14:paraId="147D537E" w14:textId="099C44E5"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 xml:space="preserve">Land Acquisition Act </w:t>
      </w:r>
      <w:r w:rsidRPr="00AA7259">
        <w:rPr>
          <w:rFonts w:cs="Arial"/>
          <w:szCs w:val="16"/>
        </w:rPr>
        <w:t>s</w:t>
      </w:r>
      <w:r>
        <w:rPr>
          <w:rFonts w:cs="Arial"/>
          <w:szCs w:val="16"/>
        </w:rPr>
        <w:t xml:space="preserve"> </w:t>
      </w:r>
      <w:r w:rsidRPr="00AA7259">
        <w:rPr>
          <w:rFonts w:cs="Arial"/>
          <w:szCs w:val="16"/>
        </w:rPr>
        <w:t>25</w:t>
      </w:r>
      <w:r>
        <w:rPr>
          <w:rFonts w:cs="Arial"/>
          <w:szCs w:val="16"/>
        </w:rPr>
        <w:t>.</w:t>
      </w:r>
    </w:p>
  </w:footnote>
  <w:footnote w:id="155">
    <w:p w14:paraId="6075FFB1" w14:textId="0244F5B0" w:rsidR="00606116" w:rsidRPr="00FD7306" w:rsidRDefault="00606116">
      <w:pPr>
        <w:pStyle w:val="FootnoteText"/>
        <w:rPr>
          <w:lang w:val="en-US"/>
        </w:rPr>
      </w:pPr>
      <w:r>
        <w:rPr>
          <w:rStyle w:val="FootnoteReference"/>
        </w:rPr>
        <w:footnoteRef/>
      </w:r>
      <w:r>
        <w:t xml:space="preserve"> </w:t>
      </w:r>
      <w:r>
        <w:rPr>
          <w:lang w:val="en-US"/>
        </w:rPr>
        <w:t>English translations of these Acts are not available online.</w:t>
      </w:r>
    </w:p>
  </w:footnote>
  <w:footnote w:id="156">
    <w:p w14:paraId="26F8CE62" w14:textId="45A4DCD0" w:rsidR="00606116" w:rsidRPr="0010130D" w:rsidRDefault="00606116" w:rsidP="007F594A">
      <w:pPr>
        <w:pStyle w:val="FootnoteText"/>
        <w:rPr>
          <w:lang w:val="en-US"/>
        </w:rPr>
      </w:pPr>
      <w:r>
        <w:rPr>
          <w:rStyle w:val="FootnoteReference"/>
        </w:rPr>
        <w:footnoteRef/>
      </w:r>
      <w:r>
        <w:t xml:space="preserve"> </w:t>
      </w:r>
      <w:r w:rsidRPr="005117FD">
        <w:rPr>
          <w:i/>
        </w:rPr>
        <w:t>Creation of Consolidated Residency Procedure, 2074</w:t>
      </w:r>
      <w:r>
        <w:t xml:space="preserve"> (2018) </w:t>
      </w:r>
      <w:r>
        <w:rPr>
          <w:lang w:val="en-US"/>
        </w:rPr>
        <w:t>s 3(a).</w:t>
      </w:r>
    </w:p>
  </w:footnote>
  <w:footnote w:id="157">
    <w:p w14:paraId="321255A0" w14:textId="7F9032A9" w:rsidR="00606116" w:rsidRPr="0010130D" w:rsidRDefault="00606116" w:rsidP="007F594A">
      <w:pPr>
        <w:pStyle w:val="FootnoteText"/>
        <w:rPr>
          <w:lang w:val="en-US"/>
        </w:rPr>
      </w:pPr>
      <w:r>
        <w:rPr>
          <w:rStyle w:val="FootnoteReference"/>
        </w:rPr>
        <w:footnoteRef/>
      </w:r>
      <w:r>
        <w:t xml:space="preserve"> </w:t>
      </w:r>
      <w:r w:rsidRPr="005117FD">
        <w:rPr>
          <w:i/>
        </w:rPr>
        <w:t xml:space="preserve">Procedure for Transfer and Relocation of </w:t>
      </w:r>
      <w:r w:rsidRPr="005117FD">
        <w:rPr>
          <w:i/>
          <w:lang w:val="en-US" w:bidi="ne-NP"/>
        </w:rPr>
        <w:t>Risky Settlements, 2073</w:t>
      </w:r>
      <w:r>
        <w:rPr>
          <w:lang w:val="en-US" w:bidi="ne-NP"/>
        </w:rPr>
        <w:t xml:space="preserve"> (2017) </w:t>
      </w:r>
      <w:r>
        <w:rPr>
          <w:lang w:val="en-US"/>
        </w:rPr>
        <w:t>s 3</w:t>
      </w:r>
      <w:r w:rsidRPr="00A861DC">
        <w:rPr>
          <w:lang w:val="en-US"/>
        </w:rPr>
        <w:t>(</w:t>
      </w:r>
      <w:r>
        <w:rPr>
          <w:lang w:val="en-US"/>
        </w:rPr>
        <w:t>4</w:t>
      </w:r>
      <w:r w:rsidRPr="00A861DC">
        <w:rPr>
          <w:lang w:val="en-US"/>
        </w:rPr>
        <w:t>)</w:t>
      </w:r>
      <w:r>
        <w:rPr>
          <w:lang w:val="en-US"/>
        </w:rPr>
        <w:t>.</w:t>
      </w:r>
    </w:p>
  </w:footnote>
  <w:footnote w:id="158">
    <w:p w14:paraId="046BB4AB" w14:textId="5DED90F9" w:rsidR="00606116" w:rsidRPr="0010130D" w:rsidRDefault="00606116" w:rsidP="007F594A">
      <w:pPr>
        <w:pStyle w:val="FootnoteText"/>
        <w:rPr>
          <w:lang w:val="en-US"/>
        </w:rPr>
      </w:pPr>
      <w:r>
        <w:rPr>
          <w:rStyle w:val="FootnoteReference"/>
        </w:rPr>
        <w:footnoteRef/>
      </w:r>
      <w:r>
        <w:t xml:space="preserve"> </w:t>
      </w:r>
      <w:r w:rsidRPr="005117FD">
        <w:rPr>
          <w:i/>
        </w:rPr>
        <w:t xml:space="preserve">Procedure for Transfer and Relocation of </w:t>
      </w:r>
      <w:r w:rsidRPr="005117FD">
        <w:rPr>
          <w:i/>
          <w:lang w:val="en-US" w:bidi="ne-NP"/>
        </w:rPr>
        <w:t>Risky Settlements, 2073</w:t>
      </w:r>
      <w:r>
        <w:rPr>
          <w:lang w:val="en-US" w:bidi="ne-NP"/>
        </w:rPr>
        <w:t xml:space="preserve"> (2017) </w:t>
      </w:r>
      <w:r>
        <w:t>s 4(1).</w:t>
      </w:r>
    </w:p>
  </w:footnote>
  <w:footnote w:id="159">
    <w:p w14:paraId="32FEB9EC" w14:textId="6A981F73" w:rsidR="00606116" w:rsidRPr="0010130D" w:rsidRDefault="00606116" w:rsidP="007F594A">
      <w:pPr>
        <w:pStyle w:val="FootnoteText"/>
        <w:rPr>
          <w:lang w:val="en-US"/>
        </w:rPr>
      </w:pPr>
      <w:r>
        <w:rPr>
          <w:rStyle w:val="FootnoteReference"/>
        </w:rPr>
        <w:footnoteRef/>
      </w:r>
      <w:r>
        <w:t xml:space="preserve"> </w:t>
      </w:r>
      <w:r w:rsidRPr="005117FD">
        <w:rPr>
          <w:i/>
        </w:rPr>
        <w:t>National Reconstruction and Resettlement Policy, 2072</w:t>
      </w:r>
      <w:r>
        <w:t xml:space="preserve"> (2016) para </w:t>
      </w:r>
      <w:r>
        <w:rPr>
          <w:lang w:val="en-US"/>
        </w:rPr>
        <w:t>4.9.</w:t>
      </w:r>
    </w:p>
  </w:footnote>
  <w:footnote w:id="160">
    <w:p w14:paraId="712F563E" w14:textId="416607D0"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Government of Nepal</w:t>
      </w:r>
      <w:r>
        <w:rPr>
          <w:rFonts w:cs="Arial"/>
          <w:szCs w:val="16"/>
        </w:rPr>
        <w:t>,</w:t>
      </w:r>
      <w:r w:rsidRPr="00AA7259">
        <w:rPr>
          <w:rFonts w:cs="Arial"/>
          <w:szCs w:val="16"/>
        </w:rPr>
        <w:t xml:space="preserve"> </w:t>
      </w:r>
      <w:r w:rsidRPr="001137F1">
        <w:rPr>
          <w:rFonts w:cs="Arial"/>
          <w:i/>
          <w:szCs w:val="16"/>
        </w:rPr>
        <w:t>Resettlement Policy Framework</w:t>
      </w:r>
      <w:r>
        <w:rPr>
          <w:rFonts w:cs="Arial"/>
          <w:i/>
          <w:szCs w:val="16"/>
        </w:rPr>
        <w:t>:</w:t>
      </w:r>
      <w:r w:rsidRPr="001137F1">
        <w:rPr>
          <w:rFonts w:cs="Arial"/>
          <w:i/>
          <w:szCs w:val="16"/>
        </w:rPr>
        <w:t xml:space="preserve"> Earthquake Housing Reconstruction Project</w:t>
      </w:r>
      <w:r>
        <w:rPr>
          <w:rFonts w:cs="Arial"/>
          <w:i/>
          <w:szCs w:val="16"/>
        </w:rPr>
        <w:t xml:space="preserve"> SFG1926</w:t>
      </w:r>
      <w:r>
        <w:rPr>
          <w:rFonts w:cs="Arial"/>
          <w:szCs w:val="16"/>
        </w:rPr>
        <w:t xml:space="preserve"> (</w:t>
      </w:r>
      <w:r w:rsidRPr="00AA7259">
        <w:rPr>
          <w:rFonts w:cs="Arial"/>
          <w:szCs w:val="16"/>
        </w:rPr>
        <w:t>2016</w:t>
      </w:r>
      <w:r>
        <w:rPr>
          <w:rFonts w:cs="Arial"/>
          <w:szCs w:val="16"/>
        </w:rPr>
        <w:t>) &lt;</w:t>
      </w:r>
      <w:r w:rsidRPr="00FD7306">
        <w:t>http://documents.worldbank.org/curated/en/548471468281070338/pdf/SFG1926-RP-P155969-Box394873B-PUBLIC-Disclosed-3-10-2016.pdf</w:t>
      </w:r>
      <w:r>
        <w:t>&gt;</w:t>
      </w:r>
      <w:r>
        <w:rPr>
          <w:rFonts w:cs="Arial"/>
          <w:szCs w:val="16"/>
        </w:rPr>
        <w:t>.</w:t>
      </w:r>
    </w:p>
  </w:footnote>
  <w:footnote w:id="161">
    <w:p w14:paraId="400C7B9D" w14:textId="3913C3DE" w:rsidR="00606116" w:rsidRPr="0010130D" w:rsidRDefault="00606116" w:rsidP="007F594A">
      <w:pPr>
        <w:pStyle w:val="FootnoteText"/>
        <w:rPr>
          <w:lang w:val="en-US"/>
        </w:rPr>
      </w:pPr>
      <w:r>
        <w:rPr>
          <w:rStyle w:val="FootnoteReference"/>
        </w:rPr>
        <w:footnoteRef/>
      </w:r>
      <w:r>
        <w:t xml:space="preserve"> </w:t>
      </w:r>
      <w:r w:rsidRPr="00FD7306">
        <w:rPr>
          <w:i/>
        </w:rPr>
        <w:t xml:space="preserve">Disaster </w:t>
      </w:r>
      <w:r w:rsidRPr="00FD7306">
        <w:rPr>
          <w:i/>
          <w:lang w:val="en-US"/>
        </w:rPr>
        <w:t>Risk Reduction and Management Act, 2074</w:t>
      </w:r>
      <w:r w:rsidRPr="00FD7306">
        <w:rPr>
          <w:lang w:val="en-US"/>
        </w:rPr>
        <w:t xml:space="preserve"> (2017) s 21(a).</w:t>
      </w:r>
      <w:r>
        <w:rPr>
          <w:lang w:val="en-US"/>
        </w:rPr>
        <w:t xml:space="preserve"> An English translation of this Act is not available online.</w:t>
      </w:r>
    </w:p>
  </w:footnote>
  <w:footnote w:id="162">
    <w:p w14:paraId="39EF0FE0" w14:textId="38854DAC"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Government of Nepal</w:t>
      </w:r>
      <w:r>
        <w:rPr>
          <w:rFonts w:cs="Arial"/>
          <w:szCs w:val="16"/>
        </w:rPr>
        <w:t>,</w:t>
      </w:r>
      <w:r w:rsidRPr="00AA7259">
        <w:rPr>
          <w:rFonts w:cs="Arial"/>
          <w:szCs w:val="16"/>
        </w:rPr>
        <w:t xml:space="preserve"> </w:t>
      </w:r>
      <w:r w:rsidRPr="001137F1">
        <w:rPr>
          <w:rFonts w:cs="Arial"/>
          <w:i/>
          <w:szCs w:val="16"/>
        </w:rPr>
        <w:t>Resettlement Policy Framework</w:t>
      </w:r>
      <w:r>
        <w:rPr>
          <w:rFonts w:cs="Arial"/>
          <w:i/>
          <w:szCs w:val="16"/>
        </w:rPr>
        <w:t>:</w:t>
      </w:r>
      <w:r w:rsidRPr="001137F1">
        <w:rPr>
          <w:rFonts w:cs="Arial"/>
          <w:i/>
          <w:szCs w:val="16"/>
        </w:rPr>
        <w:t xml:space="preserve"> Earthquake Housing Reconstruction Project</w:t>
      </w:r>
      <w:r>
        <w:rPr>
          <w:rFonts w:cs="Arial"/>
          <w:i/>
          <w:szCs w:val="16"/>
        </w:rPr>
        <w:t xml:space="preserve"> SFG1926</w:t>
      </w:r>
      <w:r>
        <w:rPr>
          <w:rFonts w:cs="Arial"/>
          <w:szCs w:val="16"/>
        </w:rPr>
        <w:t xml:space="preserve"> (</w:t>
      </w:r>
      <w:r w:rsidRPr="00AA7259">
        <w:rPr>
          <w:rFonts w:cs="Arial"/>
          <w:szCs w:val="16"/>
        </w:rPr>
        <w:t>2016</w:t>
      </w:r>
      <w:r>
        <w:rPr>
          <w:rFonts w:cs="Arial"/>
          <w:szCs w:val="16"/>
        </w:rPr>
        <w:t>) 13 &lt;</w:t>
      </w:r>
      <w:r w:rsidRPr="00143BC5">
        <w:t>http://documents.worldbank.org/curated/en/548471468281070338/pdf/SFG1926-RP-P155969-Box394873B-PUBLIC-Disclosed-3-10-2016.pdf</w:t>
      </w:r>
      <w:r>
        <w:t>&gt;</w:t>
      </w:r>
      <w:r>
        <w:rPr>
          <w:rFonts w:cs="Arial"/>
          <w:szCs w:val="16"/>
        </w:rPr>
        <w:t>.</w:t>
      </w:r>
    </w:p>
  </w:footnote>
  <w:footnote w:id="163">
    <w:p w14:paraId="2340D60D" w14:textId="198F6AD4" w:rsidR="00606116" w:rsidRPr="0010130D" w:rsidRDefault="00606116" w:rsidP="00EE3894">
      <w:pPr>
        <w:pStyle w:val="FootnoteText"/>
        <w:rPr>
          <w:lang w:val="en-US"/>
        </w:rPr>
      </w:pPr>
      <w:r>
        <w:rPr>
          <w:rStyle w:val="FootnoteReference"/>
        </w:rPr>
        <w:footnoteRef/>
      </w:r>
      <w:r>
        <w:t xml:space="preserve"> </w:t>
      </w:r>
      <w:r>
        <w:rPr>
          <w:lang w:val="en-US"/>
        </w:rPr>
        <w:t>Project Development Agreement: Upper Karnali Hydropower Project (between the Government of Nepal and GMR Upper Karnali Hydropower Limited and Karnali Transmission Company Private Limited) cl 8.2.1 &lt;</w:t>
      </w:r>
      <w:r w:rsidRPr="004A5F00">
        <w:rPr>
          <w:lang w:val="en-US"/>
        </w:rPr>
        <w:t>http://ibn.gov.np/uploads/files/Working%20Classification/PDA/Upper%20Karnali%20HEP%20PDA%20(GoN-GMR%20ITD).pdf</w:t>
      </w:r>
      <w:r>
        <w:rPr>
          <w:lang w:val="en-US"/>
        </w:rPr>
        <w:t>&gt;.</w:t>
      </w:r>
    </w:p>
  </w:footnote>
  <w:footnote w:id="164">
    <w:p w14:paraId="096063C1" w14:textId="7201EFB5"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Constitution </w:t>
      </w:r>
      <w:r>
        <w:rPr>
          <w:rFonts w:cs="Arial"/>
          <w:szCs w:val="16"/>
        </w:rPr>
        <w:t>are</w:t>
      </w:r>
      <w:r w:rsidRPr="00AA7259">
        <w:rPr>
          <w:rFonts w:cs="Arial"/>
          <w:szCs w:val="16"/>
        </w:rPr>
        <w:t xml:space="preserve"> 25(3).</w:t>
      </w:r>
    </w:p>
  </w:footnote>
  <w:footnote w:id="165">
    <w:p w14:paraId="51DF8AF9" w14:textId="3D64F4CB"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t xml:space="preserve">Land Acquisition Act </w:t>
      </w:r>
      <w:r>
        <w:rPr>
          <w:rFonts w:cs="Arial"/>
          <w:szCs w:val="16"/>
        </w:rPr>
        <w:t>s</w:t>
      </w:r>
      <w:r w:rsidRPr="00AA7259">
        <w:rPr>
          <w:rFonts w:cs="Arial"/>
          <w:szCs w:val="16"/>
        </w:rPr>
        <w:t>10</w:t>
      </w:r>
      <w:r>
        <w:rPr>
          <w:rFonts w:cs="Arial"/>
          <w:szCs w:val="16"/>
        </w:rPr>
        <w:t xml:space="preserve">. </w:t>
      </w:r>
    </w:p>
  </w:footnote>
  <w:footnote w:id="166">
    <w:p w14:paraId="07E36494" w14:textId="650FE16A"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t xml:space="preserve">Land Acquisition Act </w:t>
      </w:r>
      <w:r>
        <w:rPr>
          <w:rFonts w:cs="Arial"/>
          <w:szCs w:val="16"/>
        </w:rPr>
        <w:t xml:space="preserve">s </w:t>
      </w:r>
      <w:r w:rsidRPr="00AA7259">
        <w:rPr>
          <w:rFonts w:cs="Arial"/>
          <w:szCs w:val="16"/>
        </w:rPr>
        <w:t>18</w:t>
      </w:r>
      <w:r>
        <w:rPr>
          <w:rFonts w:cs="Arial"/>
          <w:szCs w:val="16"/>
        </w:rPr>
        <w:t>.</w:t>
      </w:r>
    </w:p>
  </w:footnote>
  <w:footnote w:id="167">
    <w:p w14:paraId="39962761" w14:textId="2FB59B91"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t xml:space="preserve">Land Acquisition Act </w:t>
      </w:r>
      <w:r>
        <w:rPr>
          <w:rFonts w:cs="Arial"/>
          <w:szCs w:val="16"/>
        </w:rPr>
        <w:t>s 18.</w:t>
      </w:r>
    </w:p>
  </w:footnote>
  <w:footnote w:id="168">
    <w:p w14:paraId="5071951F" w14:textId="4491A8F0"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t xml:space="preserve">Land Acquisition Act </w:t>
      </w:r>
      <w:r>
        <w:rPr>
          <w:rFonts w:cs="Arial"/>
          <w:szCs w:val="16"/>
        </w:rPr>
        <w:t>s 18.</w:t>
      </w:r>
    </w:p>
  </w:footnote>
  <w:footnote w:id="169">
    <w:p w14:paraId="30729AC8" w14:textId="230AE012"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t xml:space="preserve">Land Acquisition Act </w:t>
      </w:r>
      <w:r>
        <w:rPr>
          <w:rFonts w:cs="Arial"/>
          <w:szCs w:val="16"/>
        </w:rPr>
        <w:t xml:space="preserve">s </w:t>
      </w:r>
      <w:r w:rsidRPr="00AA7259">
        <w:rPr>
          <w:rFonts w:cs="Arial"/>
          <w:szCs w:val="16"/>
        </w:rPr>
        <w:t>13</w:t>
      </w:r>
      <w:r>
        <w:rPr>
          <w:rFonts w:cs="Arial"/>
          <w:szCs w:val="16"/>
        </w:rPr>
        <w:t>.</w:t>
      </w:r>
    </w:p>
  </w:footnote>
  <w:footnote w:id="170">
    <w:p w14:paraId="37A8C04D" w14:textId="7342E70E"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t xml:space="preserve">Land Acquisition Act </w:t>
      </w:r>
      <w:r>
        <w:rPr>
          <w:rFonts w:cs="Arial"/>
          <w:szCs w:val="16"/>
        </w:rPr>
        <w:t xml:space="preserve">s </w:t>
      </w:r>
      <w:r w:rsidRPr="00AA7259">
        <w:rPr>
          <w:rFonts w:cs="Arial"/>
          <w:szCs w:val="16"/>
        </w:rPr>
        <w:t>14</w:t>
      </w:r>
      <w:r>
        <w:rPr>
          <w:rFonts w:cs="Arial"/>
          <w:szCs w:val="16"/>
        </w:rPr>
        <w:t>.</w:t>
      </w:r>
    </w:p>
  </w:footnote>
  <w:footnote w:id="171">
    <w:p w14:paraId="5FE6150D" w14:textId="68A70017"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t xml:space="preserve">Land Acquisition Act </w:t>
      </w:r>
      <w:r>
        <w:rPr>
          <w:rFonts w:cs="Arial"/>
          <w:szCs w:val="16"/>
        </w:rPr>
        <w:t xml:space="preserve">s </w:t>
      </w:r>
      <w:r w:rsidRPr="00AA7259">
        <w:rPr>
          <w:rFonts w:cs="Arial"/>
          <w:szCs w:val="16"/>
        </w:rPr>
        <w:t>6</w:t>
      </w:r>
      <w:r>
        <w:rPr>
          <w:rFonts w:cs="Arial"/>
          <w:szCs w:val="16"/>
        </w:rPr>
        <w:t>.</w:t>
      </w:r>
    </w:p>
  </w:footnote>
  <w:footnote w:id="172">
    <w:p w14:paraId="18C26DB7" w14:textId="1E5C6D53"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t xml:space="preserve">Land Acquisition Act </w:t>
      </w:r>
      <w:r>
        <w:rPr>
          <w:rFonts w:cs="Arial"/>
          <w:szCs w:val="16"/>
        </w:rPr>
        <w:t xml:space="preserve">s </w:t>
      </w:r>
      <w:r w:rsidRPr="00AA7259">
        <w:rPr>
          <w:rFonts w:cs="Arial"/>
          <w:szCs w:val="16"/>
        </w:rPr>
        <w:t>25</w:t>
      </w:r>
      <w:r>
        <w:rPr>
          <w:rFonts w:cs="Arial"/>
          <w:szCs w:val="16"/>
        </w:rPr>
        <w:t>. See s</w:t>
      </w:r>
      <w:r>
        <w:t xml:space="preserve">ection </w:t>
      </w:r>
      <w:r>
        <w:fldChar w:fldCharType="begin"/>
      </w:r>
      <w:r>
        <w:instrText xml:space="preserve"> REF _Ref8807819 \r \h </w:instrText>
      </w:r>
      <w:r>
        <w:fldChar w:fldCharType="separate"/>
      </w:r>
      <w:r>
        <w:t>4.2(b)</w:t>
      </w:r>
      <w:r>
        <w:fldChar w:fldCharType="end"/>
      </w:r>
      <w:r>
        <w:t xml:space="preserve"> above.</w:t>
      </w:r>
    </w:p>
  </w:footnote>
  <w:footnote w:id="173">
    <w:p w14:paraId="75F7BEB9" w14:textId="54F342F8"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t xml:space="preserve">Land Acquisition Act </w:t>
      </w:r>
      <w:r>
        <w:rPr>
          <w:rFonts w:cs="Arial"/>
          <w:szCs w:val="16"/>
        </w:rPr>
        <w:t xml:space="preserve">s </w:t>
      </w:r>
      <w:r w:rsidRPr="00AA7259">
        <w:rPr>
          <w:rFonts w:cs="Arial"/>
          <w:szCs w:val="16"/>
        </w:rPr>
        <w:t>15</w:t>
      </w:r>
      <w:r>
        <w:rPr>
          <w:rFonts w:cs="Arial"/>
          <w:szCs w:val="16"/>
        </w:rPr>
        <w:t>.</w:t>
      </w:r>
    </w:p>
  </w:footnote>
  <w:footnote w:id="174">
    <w:p w14:paraId="3C5CB6B8" w14:textId="4BAF7A1F"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r>
        <w:rPr>
          <w:rFonts w:cs="Arial"/>
          <w:szCs w:val="16"/>
        </w:rPr>
        <w:t xml:space="preserve">Nepal Law Commission, </w:t>
      </w:r>
      <w:r w:rsidRPr="00FD7306">
        <w:rPr>
          <w:rFonts w:cs="Arial"/>
          <w:i/>
          <w:szCs w:val="16"/>
        </w:rPr>
        <w:t>Guthi Corporation Act, 2033</w:t>
      </w:r>
      <w:r>
        <w:rPr>
          <w:rFonts w:cs="Arial"/>
          <w:szCs w:val="16"/>
        </w:rPr>
        <w:t xml:space="preserve"> (1976)</w:t>
      </w:r>
      <w:r w:rsidRPr="00AA7259">
        <w:rPr>
          <w:rFonts w:cs="Arial"/>
          <w:i/>
          <w:szCs w:val="16"/>
        </w:rPr>
        <w:t xml:space="preserve"> </w:t>
      </w:r>
      <w:r>
        <w:rPr>
          <w:rFonts w:cs="Arial"/>
          <w:szCs w:val="16"/>
        </w:rPr>
        <w:t>s 42A &lt;</w:t>
      </w:r>
      <w:r w:rsidRPr="00FD7306">
        <w:t>http://www.lawcommission.gov.np/en/archives/category/documents/prevailing-law/statutes-acts/the-guthi-corporation-act-2033-1976</w:t>
      </w:r>
      <w:r>
        <w:t>&gt;.</w:t>
      </w:r>
    </w:p>
  </w:footnote>
  <w:footnote w:id="175">
    <w:p w14:paraId="4BDA7FE5" w14:textId="08A029D0"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Nicholas Tagliarino, </w:t>
      </w:r>
      <w:r>
        <w:rPr>
          <w:rFonts w:cs="Arial"/>
          <w:szCs w:val="16"/>
        </w:rPr>
        <w:t>'</w:t>
      </w:r>
      <w:r w:rsidRPr="00AA7259">
        <w:rPr>
          <w:rFonts w:cs="Arial"/>
          <w:szCs w:val="16"/>
        </w:rPr>
        <w:t>The Status of National Legal Frameworks for Valuing Compensation for Expropriated Land: An Analysis of Whether National Laws in 50 Countries</w:t>
      </w:r>
      <w:r>
        <w:rPr>
          <w:rFonts w:cs="Arial"/>
          <w:szCs w:val="16"/>
        </w:rPr>
        <w:t xml:space="preserve"> and</w:t>
      </w:r>
      <w:r w:rsidRPr="00AA7259">
        <w:rPr>
          <w:rFonts w:cs="Arial"/>
          <w:szCs w:val="16"/>
        </w:rPr>
        <w:t xml:space="preserve"> Regions across Asia, Africa, and Latin America Comply with International Standards on Compensation Valuation</w:t>
      </w:r>
      <w:r>
        <w:rPr>
          <w:rFonts w:cs="Arial"/>
          <w:szCs w:val="16"/>
        </w:rPr>
        <w:t xml:space="preserve">' (2017) </w:t>
      </w:r>
      <w:r>
        <w:rPr>
          <w:rFonts w:cs="Arial"/>
          <w:i/>
          <w:szCs w:val="16"/>
        </w:rPr>
        <w:t xml:space="preserve">6 </w:t>
      </w:r>
      <w:r w:rsidRPr="00AA7259">
        <w:rPr>
          <w:rFonts w:cs="Arial"/>
          <w:i/>
          <w:szCs w:val="16"/>
        </w:rPr>
        <w:t xml:space="preserve">Land </w:t>
      </w:r>
      <w:r>
        <w:rPr>
          <w:rFonts w:cs="Arial"/>
          <w:szCs w:val="16"/>
        </w:rPr>
        <w:t>1,</w:t>
      </w:r>
      <w:r w:rsidRPr="00AA7259">
        <w:rPr>
          <w:rFonts w:cs="Arial"/>
          <w:szCs w:val="16"/>
        </w:rPr>
        <w:t xml:space="preserve"> 10</w:t>
      </w:r>
      <w:r>
        <w:rPr>
          <w:rFonts w:cs="Arial"/>
          <w:szCs w:val="16"/>
        </w:rPr>
        <w:t xml:space="preserve"> &lt;</w:t>
      </w:r>
      <w:r w:rsidRPr="0058424F">
        <w:rPr>
          <w:rFonts w:cs="Arial"/>
          <w:szCs w:val="16"/>
        </w:rPr>
        <w:t>http://www.mdpi.com/2073-445X/6/2/37</w:t>
      </w:r>
      <w:r>
        <w:rPr>
          <w:rFonts w:cs="Arial"/>
          <w:szCs w:val="16"/>
        </w:rPr>
        <w:t>&gt;.</w:t>
      </w:r>
      <w:r w:rsidRPr="00AA7259">
        <w:rPr>
          <w:rFonts w:cs="Arial"/>
          <w:szCs w:val="16"/>
        </w:rPr>
        <w:t xml:space="preserve"> </w:t>
      </w:r>
    </w:p>
  </w:footnote>
  <w:footnote w:id="176">
    <w:p w14:paraId="18693FDF" w14:textId="77777777"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101" w:name="_Hlk8912221"/>
      <w:r w:rsidRPr="00AA7259">
        <w:rPr>
          <w:rFonts w:cs="Arial"/>
          <w:szCs w:val="16"/>
        </w:rPr>
        <w:t xml:space="preserve">Gandhi Subedi and Raja Ram Chhatkuli, </w:t>
      </w:r>
      <w:r>
        <w:rPr>
          <w:rFonts w:cs="Arial"/>
          <w:szCs w:val="16"/>
        </w:rPr>
        <w:t>'</w:t>
      </w:r>
      <w:r w:rsidRPr="0058424F">
        <w:rPr>
          <w:rFonts w:cs="Arial"/>
          <w:szCs w:val="16"/>
        </w:rPr>
        <w:t>Land Policy Issues in Nepalese Context</w:t>
      </w:r>
      <w:r>
        <w:rPr>
          <w:rFonts w:cs="Arial"/>
          <w:szCs w:val="16"/>
        </w:rPr>
        <w:t xml:space="preserve">' (2010) 9 </w:t>
      </w:r>
      <w:r w:rsidRPr="0058424F">
        <w:rPr>
          <w:rFonts w:cs="Arial"/>
          <w:i/>
          <w:szCs w:val="16"/>
        </w:rPr>
        <w:t>Nepalese Journal on Geoinformatics</w:t>
      </w:r>
      <w:r w:rsidRPr="00AA7259">
        <w:rPr>
          <w:rFonts w:cs="Arial"/>
          <w:szCs w:val="16"/>
        </w:rPr>
        <w:t xml:space="preserve"> </w:t>
      </w:r>
      <w:r>
        <w:rPr>
          <w:rFonts w:cs="Arial"/>
          <w:szCs w:val="16"/>
        </w:rPr>
        <w:t>2067.</w:t>
      </w:r>
    </w:p>
    <w:bookmarkEnd w:id="101"/>
  </w:footnote>
  <w:footnote w:id="177">
    <w:p w14:paraId="18C41306" w14:textId="1679D830"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102" w:name="_Hlk8912158"/>
      <w:r w:rsidRPr="00AA7259">
        <w:rPr>
          <w:rFonts w:cs="Arial"/>
          <w:szCs w:val="16"/>
        </w:rPr>
        <w:t xml:space="preserve">Nicholas Tagliarino, </w:t>
      </w:r>
      <w:r>
        <w:rPr>
          <w:rFonts w:cs="Arial"/>
          <w:szCs w:val="16"/>
        </w:rPr>
        <w:t>'</w:t>
      </w:r>
      <w:r w:rsidRPr="00AA7259">
        <w:rPr>
          <w:rFonts w:cs="Arial"/>
          <w:szCs w:val="16"/>
        </w:rPr>
        <w:t>The Status of National Legal Frameworks for Valuing Compensation for Expropriated Land: An Analysis of Whether National Laws in 50 Countries/ Regions across Asia, Africa, and Latin America Comply with International Standards on Compensation Valuation</w:t>
      </w:r>
      <w:r>
        <w:rPr>
          <w:rFonts w:cs="Arial"/>
          <w:szCs w:val="16"/>
        </w:rPr>
        <w:t xml:space="preserve">' (2017) </w:t>
      </w:r>
      <w:r>
        <w:rPr>
          <w:rFonts w:cs="Arial"/>
          <w:i/>
          <w:szCs w:val="16"/>
        </w:rPr>
        <w:t xml:space="preserve">6 </w:t>
      </w:r>
      <w:r w:rsidRPr="00AA7259">
        <w:rPr>
          <w:rFonts w:cs="Arial"/>
          <w:i/>
          <w:szCs w:val="16"/>
        </w:rPr>
        <w:t>Land</w:t>
      </w:r>
      <w:r>
        <w:rPr>
          <w:rFonts w:cs="Arial"/>
          <w:i/>
          <w:szCs w:val="16"/>
        </w:rPr>
        <w:t xml:space="preserve"> </w:t>
      </w:r>
      <w:r w:rsidRPr="00FD7306">
        <w:rPr>
          <w:rFonts w:cs="Arial"/>
          <w:szCs w:val="16"/>
        </w:rPr>
        <w:t>1</w:t>
      </w:r>
      <w:r>
        <w:rPr>
          <w:rFonts w:cs="Arial"/>
          <w:szCs w:val="16"/>
        </w:rPr>
        <w:t>,</w:t>
      </w:r>
      <w:r w:rsidRPr="00AA7259">
        <w:rPr>
          <w:rFonts w:cs="Arial"/>
          <w:szCs w:val="16"/>
        </w:rPr>
        <w:t xml:space="preserve"> 1</w:t>
      </w:r>
      <w:r>
        <w:rPr>
          <w:rFonts w:cs="Arial"/>
          <w:szCs w:val="16"/>
        </w:rPr>
        <w:t>9 &lt;</w:t>
      </w:r>
      <w:r w:rsidRPr="0058424F">
        <w:rPr>
          <w:rFonts w:cs="Arial"/>
          <w:szCs w:val="16"/>
        </w:rPr>
        <w:t>http://www.mdpi.com/2073-445X/6/2/37</w:t>
      </w:r>
      <w:r>
        <w:rPr>
          <w:rFonts w:cs="Arial"/>
          <w:szCs w:val="16"/>
        </w:rPr>
        <w:t>&gt;</w:t>
      </w:r>
      <w:bookmarkEnd w:id="102"/>
      <w:r>
        <w:rPr>
          <w:rFonts w:cs="Arial"/>
          <w:szCs w:val="16"/>
        </w:rPr>
        <w:t xml:space="preserve">. </w:t>
      </w:r>
    </w:p>
  </w:footnote>
  <w:footnote w:id="178">
    <w:p w14:paraId="351A8BD2" w14:textId="35DD703B"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Government of Nepal</w:t>
      </w:r>
      <w:r>
        <w:rPr>
          <w:rFonts w:cs="Arial"/>
          <w:szCs w:val="16"/>
        </w:rPr>
        <w:t>,</w:t>
      </w:r>
      <w:r w:rsidRPr="00AA7259">
        <w:rPr>
          <w:rFonts w:cs="Arial"/>
          <w:szCs w:val="16"/>
        </w:rPr>
        <w:t xml:space="preserve"> </w:t>
      </w:r>
      <w:r w:rsidRPr="001137F1">
        <w:rPr>
          <w:rFonts w:cs="Arial"/>
          <w:i/>
          <w:szCs w:val="16"/>
        </w:rPr>
        <w:t>Resettlement Policy Framework</w:t>
      </w:r>
      <w:r>
        <w:rPr>
          <w:rFonts w:cs="Arial"/>
          <w:i/>
          <w:szCs w:val="16"/>
        </w:rPr>
        <w:t>:</w:t>
      </w:r>
      <w:r w:rsidRPr="001137F1">
        <w:rPr>
          <w:rFonts w:cs="Arial"/>
          <w:i/>
          <w:szCs w:val="16"/>
        </w:rPr>
        <w:t xml:space="preserve"> Earthquake Housing Reconstruction Project</w:t>
      </w:r>
      <w:r>
        <w:rPr>
          <w:rFonts w:cs="Arial"/>
          <w:i/>
          <w:szCs w:val="16"/>
        </w:rPr>
        <w:t xml:space="preserve"> SFG1926</w:t>
      </w:r>
      <w:r>
        <w:rPr>
          <w:rFonts w:cs="Arial"/>
          <w:szCs w:val="16"/>
        </w:rPr>
        <w:t xml:space="preserve"> (</w:t>
      </w:r>
      <w:r w:rsidRPr="00AA7259">
        <w:rPr>
          <w:rFonts w:cs="Arial"/>
          <w:szCs w:val="16"/>
        </w:rPr>
        <w:t>2016</w:t>
      </w:r>
      <w:r>
        <w:rPr>
          <w:rFonts w:cs="Arial"/>
          <w:szCs w:val="16"/>
        </w:rPr>
        <w:t>) 18 &lt;</w:t>
      </w:r>
      <w:r w:rsidRPr="00143BC5">
        <w:t>http://documents.worldbank.org/curated/en/548471468281070338/pdf/SFG1926-RP-P155969-Box394873B-PUBLIC-Disclosed-3-10-2016.pdf</w:t>
      </w:r>
      <w:r>
        <w:t>&gt;</w:t>
      </w:r>
      <w:r>
        <w:rPr>
          <w:rFonts w:cs="Arial"/>
          <w:szCs w:val="16"/>
        </w:rPr>
        <w:t>.</w:t>
      </w:r>
    </w:p>
  </w:footnote>
  <w:footnote w:id="179">
    <w:p w14:paraId="5672CB6F" w14:textId="1886B764"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Nicholas Tagliarino, </w:t>
      </w:r>
      <w:r>
        <w:rPr>
          <w:rFonts w:cs="Arial"/>
          <w:szCs w:val="16"/>
        </w:rPr>
        <w:t>'</w:t>
      </w:r>
      <w:r w:rsidRPr="00AA7259">
        <w:rPr>
          <w:rFonts w:cs="Arial"/>
          <w:szCs w:val="16"/>
        </w:rPr>
        <w:t>The Status of National Legal Frameworks for Valuing Compensation for Expropriated Land: An Analysis of Whether National Laws in 50 Countries/ Regions across Asia, Africa, and Latin America Comply with International Standards on Compensation Valuation</w:t>
      </w:r>
      <w:r>
        <w:rPr>
          <w:rFonts w:cs="Arial"/>
          <w:szCs w:val="16"/>
        </w:rPr>
        <w:t xml:space="preserve">' (2017) </w:t>
      </w:r>
      <w:r>
        <w:rPr>
          <w:rFonts w:cs="Arial"/>
          <w:i/>
          <w:szCs w:val="16"/>
        </w:rPr>
        <w:t xml:space="preserve">6 </w:t>
      </w:r>
      <w:r w:rsidRPr="00AA7259">
        <w:rPr>
          <w:rFonts w:cs="Arial"/>
          <w:i/>
          <w:szCs w:val="16"/>
        </w:rPr>
        <w:t xml:space="preserve">Land </w:t>
      </w:r>
      <w:r>
        <w:rPr>
          <w:rFonts w:cs="Arial"/>
          <w:szCs w:val="16"/>
        </w:rPr>
        <w:t>1,</w:t>
      </w:r>
      <w:r w:rsidRPr="00AA7259">
        <w:rPr>
          <w:rFonts w:cs="Arial"/>
          <w:szCs w:val="16"/>
        </w:rPr>
        <w:t xml:space="preserve"> 1</w:t>
      </w:r>
      <w:r>
        <w:rPr>
          <w:rFonts w:cs="Arial"/>
          <w:szCs w:val="16"/>
        </w:rPr>
        <w:t>1 &lt;</w:t>
      </w:r>
      <w:r w:rsidRPr="0058424F">
        <w:rPr>
          <w:rFonts w:cs="Arial"/>
          <w:szCs w:val="16"/>
        </w:rPr>
        <w:t>http://www.mdpi.com/2073-445X/6/2/37</w:t>
      </w:r>
      <w:r>
        <w:rPr>
          <w:rFonts w:cs="Arial"/>
          <w:szCs w:val="16"/>
        </w:rPr>
        <w:t xml:space="preserve">&gt;; </w:t>
      </w:r>
      <w:r w:rsidRPr="00AA7259">
        <w:rPr>
          <w:rFonts w:cs="Arial"/>
          <w:szCs w:val="16"/>
        </w:rPr>
        <w:t>Government of Nepal</w:t>
      </w:r>
      <w:r>
        <w:rPr>
          <w:rFonts w:cs="Arial"/>
          <w:szCs w:val="16"/>
        </w:rPr>
        <w:t>,</w:t>
      </w:r>
      <w:r w:rsidRPr="00AA7259">
        <w:rPr>
          <w:rFonts w:cs="Arial"/>
          <w:szCs w:val="16"/>
        </w:rPr>
        <w:t xml:space="preserve"> </w:t>
      </w:r>
      <w:r w:rsidRPr="001137F1">
        <w:rPr>
          <w:rFonts w:cs="Arial"/>
          <w:i/>
          <w:szCs w:val="16"/>
        </w:rPr>
        <w:t>Resettlement Policy Framework</w:t>
      </w:r>
      <w:r>
        <w:rPr>
          <w:rFonts w:cs="Arial"/>
          <w:i/>
          <w:szCs w:val="16"/>
        </w:rPr>
        <w:t>:</w:t>
      </w:r>
      <w:r w:rsidRPr="001137F1">
        <w:rPr>
          <w:rFonts w:cs="Arial"/>
          <w:i/>
          <w:szCs w:val="16"/>
        </w:rPr>
        <w:t xml:space="preserve"> Earthquake Housing Reconstruction Project</w:t>
      </w:r>
      <w:r>
        <w:rPr>
          <w:rFonts w:cs="Arial"/>
          <w:i/>
          <w:szCs w:val="16"/>
        </w:rPr>
        <w:t xml:space="preserve"> SFG1926</w:t>
      </w:r>
      <w:r>
        <w:rPr>
          <w:rFonts w:cs="Arial"/>
          <w:szCs w:val="16"/>
        </w:rPr>
        <w:t xml:space="preserve"> (</w:t>
      </w:r>
      <w:r w:rsidRPr="00AA7259">
        <w:rPr>
          <w:rFonts w:cs="Arial"/>
          <w:szCs w:val="16"/>
        </w:rPr>
        <w:t>2016</w:t>
      </w:r>
      <w:r>
        <w:rPr>
          <w:rFonts w:cs="Arial"/>
          <w:szCs w:val="16"/>
        </w:rPr>
        <w:t>) 15 &lt;</w:t>
      </w:r>
      <w:r w:rsidRPr="00143BC5">
        <w:t>http://documents.worldbank.org/curated/en/548471468281070338/pdf/SFG1926-RP-P155969-Box394873B-PUBLIC-Disclosed-3-10-2016.pdf</w:t>
      </w:r>
      <w:r>
        <w:t>&gt;</w:t>
      </w:r>
      <w:r>
        <w:rPr>
          <w:rFonts w:cs="Arial"/>
          <w:szCs w:val="16"/>
        </w:rPr>
        <w:t>.</w:t>
      </w:r>
    </w:p>
  </w:footnote>
  <w:footnote w:id="180">
    <w:p w14:paraId="0CF33A7E" w14:textId="0FE7C136"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Government of Nepal</w:t>
      </w:r>
      <w:r>
        <w:rPr>
          <w:rFonts w:cs="Arial"/>
          <w:szCs w:val="16"/>
        </w:rPr>
        <w:t>,</w:t>
      </w:r>
      <w:r w:rsidRPr="00AA7259">
        <w:rPr>
          <w:rFonts w:cs="Arial"/>
          <w:szCs w:val="16"/>
        </w:rPr>
        <w:t xml:space="preserve"> </w:t>
      </w:r>
      <w:r w:rsidRPr="001137F1">
        <w:rPr>
          <w:rFonts w:cs="Arial"/>
          <w:i/>
          <w:szCs w:val="16"/>
        </w:rPr>
        <w:t>Resettlement Policy Framework</w:t>
      </w:r>
      <w:r>
        <w:rPr>
          <w:rFonts w:cs="Arial"/>
          <w:i/>
          <w:szCs w:val="16"/>
        </w:rPr>
        <w:t>:</w:t>
      </w:r>
      <w:r w:rsidRPr="001137F1">
        <w:rPr>
          <w:rFonts w:cs="Arial"/>
          <w:i/>
          <w:szCs w:val="16"/>
        </w:rPr>
        <w:t xml:space="preserve"> Earthquake Housing Reconstruction Project</w:t>
      </w:r>
      <w:r>
        <w:rPr>
          <w:rFonts w:cs="Arial"/>
          <w:i/>
          <w:szCs w:val="16"/>
        </w:rPr>
        <w:t xml:space="preserve"> SFG1926</w:t>
      </w:r>
      <w:r>
        <w:rPr>
          <w:rFonts w:cs="Arial"/>
          <w:szCs w:val="16"/>
        </w:rPr>
        <w:t xml:space="preserve"> (</w:t>
      </w:r>
      <w:r w:rsidRPr="00AA7259">
        <w:rPr>
          <w:rFonts w:cs="Arial"/>
          <w:szCs w:val="16"/>
        </w:rPr>
        <w:t>2016</w:t>
      </w:r>
      <w:r>
        <w:rPr>
          <w:rFonts w:cs="Arial"/>
          <w:szCs w:val="16"/>
        </w:rPr>
        <w:t>) 16 &lt;</w:t>
      </w:r>
      <w:r w:rsidRPr="00143BC5">
        <w:t>http://documents.worldbank.org/curated/en/548471468281070338/pdf/SFG1926-RP-P155969-Box394873B-PUBLIC-Disclosed-3-10-2016.pdf</w:t>
      </w:r>
      <w:r>
        <w:t>&gt;</w:t>
      </w:r>
      <w:r>
        <w:rPr>
          <w:rFonts w:cs="Arial"/>
          <w:szCs w:val="16"/>
        </w:rPr>
        <w:t>.</w:t>
      </w:r>
    </w:p>
  </w:footnote>
  <w:footnote w:id="181">
    <w:p w14:paraId="6A17AD17" w14:textId="60DD9C74"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Government of Nepal</w:t>
      </w:r>
      <w:r>
        <w:rPr>
          <w:rFonts w:cs="Arial"/>
          <w:szCs w:val="16"/>
        </w:rPr>
        <w:t>,</w:t>
      </w:r>
      <w:r w:rsidRPr="00AA7259">
        <w:rPr>
          <w:rFonts w:cs="Arial"/>
          <w:szCs w:val="16"/>
        </w:rPr>
        <w:t xml:space="preserve"> </w:t>
      </w:r>
      <w:r w:rsidRPr="001137F1">
        <w:rPr>
          <w:rFonts w:cs="Arial"/>
          <w:i/>
          <w:szCs w:val="16"/>
        </w:rPr>
        <w:t>Resettlement Policy Framework</w:t>
      </w:r>
      <w:r>
        <w:rPr>
          <w:rFonts w:cs="Arial"/>
          <w:i/>
          <w:szCs w:val="16"/>
        </w:rPr>
        <w:t>:</w:t>
      </w:r>
      <w:r w:rsidRPr="001137F1">
        <w:rPr>
          <w:rFonts w:cs="Arial"/>
          <w:i/>
          <w:szCs w:val="16"/>
        </w:rPr>
        <w:t xml:space="preserve"> Earthquake Housing Reconstruction Project</w:t>
      </w:r>
      <w:r>
        <w:rPr>
          <w:rFonts w:cs="Arial"/>
          <w:i/>
          <w:szCs w:val="16"/>
        </w:rPr>
        <w:t xml:space="preserve"> SFG1926</w:t>
      </w:r>
      <w:r>
        <w:rPr>
          <w:rFonts w:cs="Arial"/>
          <w:szCs w:val="16"/>
        </w:rPr>
        <w:t xml:space="preserve"> (</w:t>
      </w:r>
      <w:r w:rsidRPr="00AA7259">
        <w:rPr>
          <w:rFonts w:cs="Arial"/>
          <w:szCs w:val="16"/>
        </w:rPr>
        <w:t>2016</w:t>
      </w:r>
      <w:r>
        <w:rPr>
          <w:rFonts w:cs="Arial"/>
          <w:szCs w:val="16"/>
        </w:rPr>
        <w:t>) 16 &lt;</w:t>
      </w:r>
      <w:r w:rsidRPr="00143BC5">
        <w:t>http://documents.worldbank.org/curated/en/548471468281070338/pdf/SFG1926-RP-P155969-Box394873B-PUBLIC-Disclosed-3-10-2016.pdf</w:t>
      </w:r>
      <w:r>
        <w:t>&gt;</w:t>
      </w:r>
      <w:r>
        <w:rPr>
          <w:rFonts w:cs="Arial"/>
          <w:szCs w:val="16"/>
        </w:rPr>
        <w:t>.</w:t>
      </w:r>
    </w:p>
  </w:footnote>
  <w:footnote w:id="182">
    <w:p w14:paraId="295849D6" w14:textId="02FB38C1"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Government of Nepal</w:t>
      </w:r>
      <w:r>
        <w:rPr>
          <w:rFonts w:cs="Arial"/>
          <w:szCs w:val="16"/>
        </w:rPr>
        <w:t>,</w:t>
      </w:r>
      <w:r w:rsidRPr="00AA7259">
        <w:rPr>
          <w:rFonts w:cs="Arial"/>
          <w:szCs w:val="16"/>
        </w:rPr>
        <w:t xml:space="preserve"> </w:t>
      </w:r>
      <w:r w:rsidRPr="001137F1">
        <w:rPr>
          <w:rFonts w:cs="Arial"/>
          <w:i/>
          <w:szCs w:val="16"/>
        </w:rPr>
        <w:t>Resettlement Policy Framework</w:t>
      </w:r>
      <w:r>
        <w:rPr>
          <w:rFonts w:cs="Arial"/>
          <w:i/>
          <w:szCs w:val="16"/>
        </w:rPr>
        <w:t>:</w:t>
      </w:r>
      <w:r w:rsidRPr="001137F1">
        <w:rPr>
          <w:rFonts w:cs="Arial"/>
          <w:i/>
          <w:szCs w:val="16"/>
        </w:rPr>
        <w:t xml:space="preserve"> Earthquake Housing Reconstruction Project</w:t>
      </w:r>
      <w:r>
        <w:rPr>
          <w:rFonts w:cs="Arial"/>
          <w:i/>
          <w:szCs w:val="16"/>
        </w:rPr>
        <w:t xml:space="preserve"> SFG1926</w:t>
      </w:r>
      <w:r>
        <w:rPr>
          <w:rFonts w:cs="Arial"/>
          <w:szCs w:val="16"/>
        </w:rPr>
        <w:t xml:space="preserve"> (</w:t>
      </w:r>
      <w:r w:rsidRPr="00AA7259">
        <w:rPr>
          <w:rFonts w:cs="Arial"/>
          <w:szCs w:val="16"/>
        </w:rPr>
        <w:t>2016</w:t>
      </w:r>
      <w:r>
        <w:rPr>
          <w:rFonts w:cs="Arial"/>
          <w:szCs w:val="16"/>
        </w:rPr>
        <w:t>) 18 &lt;</w:t>
      </w:r>
      <w:r w:rsidRPr="00143BC5">
        <w:t>http://documents.worldbank.org/curated/en/548471468281070338/pdf/SFG1926-RP-P155969-Box394873B-PUBLIC-Disclosed-3-10-2016.pdf</w:t>
      </w:r>
      <w:r>
        <w:t>&gt;</w:t>
      </w:r>
      <w:r>
        <w:rPr>
          <w:rFonts w:cs="Arial"/>
          <w:szCs w:val="16"/>
        </w:rPr>
        <w:t>.</w:t>
      </w:r>
    </w:p>
  </w:footnote>
  <w:footnote w:id="183">
    <w:p w14:paraId="3B156199" w14:textId="07962529"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106" w:name="_Hlk8912695"/>
      <w:r>
        <w:rPr>
          <w:rFonts w:cs="Arial"/>
          <w:szCs w:val="16"/>
        </w:rPr>
        <w:t xml:space="preserve">Global </w:t>
      </w:r>
      <w:r w:rsidRPr="00AA7259">
        <w:rPr>
          <w:rFonts w:cs="Arial"/>
          <w:szCs w:val="16"/>
        </w:rPr>
        <w:t>Shelter Cluster</w:t>
      </w:r>
      <w:r>
        <w:rPr>
          <w:rFonts w:cs="Arial"/>
          <w:szCs w:val="16"/>
        </w:rPr>
        <w:t>,</w:t>
      </w:r>
      <w:r w:rsidRPr="00AA7259">
        <w:rPr>
          <w:rFonts w:cs="Arial"/>
          <w:szCs w:val="16"/>
        </w:rPr>
        <w:t xml:space="preserve"> </w:t>
      </w:r>
      <w:r w:rsidRPr="0058424F">
        <w:rPr>
          <w:rFonts w:cs="Arial"/>
          <w:i/>
          <w:szCs w:val="16"/>
        </w:rPr>
        <w:t>Nepal</w:t>
      </w:r>
      <w:r>
        <w:rPr>
          <w:rFonts w:cs="Arial"/>
          <w:i/>
          <w:szCs w:val="16"/>
        </w:rPr>
        <w:t>:</w:t>
      </w:r>
      <w:r w:rsidRPr="0058424F">
        <w:rPr>
          <w:rFonts w:cs="Arial"/>
          <w:i/>
          <w:szCs w:val="16"/>
        </w:rPr>
        <w:t xml:space="preserve"> Jan</w:t>
      </w:r>
      <w:r>
        <w:rPr>
          <w:rFonts w:cs="Arial"/>
          <w:i/>
          <w:szCs w:val="16"/>
        </w:rPr>
        <w:t xml:space="preserve">uary – </w:t>
      </w:r>
      <w:r w:rsidRPr="0058424F">
        <w:rPr>
          <w:rFonts w:cs="Arial"/>
          <w:i/>
          <w:szCs w:val="16"/>
        </w:rPr>
        <w:t>Dec</w:t>
      </w:r>
      <w:r>
        <w:rPr>
          <w:rFonts w:cs="Arial"/>
          <w:i/>
          <w:szCs w:val="16"/>
        </w:rPr>
        <w:t>ember</w:t>
      </w:r>
      <w:r w:rsidRPr="0058424F">
        <w:rPr>
          <w:rFonts w:cs="Arial"/>
          <w:i/>
          <w:szCs w:val="16"/>
        </w:rPr>
        <w:t xml:space="preserve"> 2017</w:t>
      </w:r>
      <w:r>
        <w:rPr>
          <w:rFonts w:cs="Arial"/>
          <w:i/>
          <w:szCs w:val="16"/>
        </w:rPr>
        <w:t xml:space="preserve"> </w:t>
      </w:r>
      <w:r>
        <w:rPr>
          <w:rFonts w:cs="Arial"/>
          <w:szCs w:val="16"/>
        </w:rPr>
        <w:t>(2018) &lt;</w:t>
      </w:r>
      <w:r w:rsidRPr="0058424F">
        <w:rPr>
          <w:rFonts w:cs="Arial"/>
          <w:szCs w:val="16"/>
        </w:rPr>
        <w:t>https://www.sheltercluster.org/nepal/documents/nepal-factsheet-jan-dec-2017</w:t>
      </w:r>
      <w:r>
        <w:rPr>
          <w:rFonts w:cs="Arial"/>
          <w:szCs w:val="16"/>
        </w:rPr>
        <w:t>&gt;</w:t>
      </w:r>
      <w:bookmarkEnd w:id="106"/>
      <w:r>
        <w:rPr>
          <w:rFonts w:cs="Arial"/>
          <w:szCs w:val="16"/>
        </w:rPr>
        <w:t>.</w:t>
      </w:r>
      <w:r w:rsidRPr="00AA7259">
        <w:rPr>
          <w:rFonts w:cs="Arial"/>
          <w:szCs w:val="16"/>
        </w:rPr>
        <w:t xml:space="preserve"> </w:t>
      </w:r>
    </w:p>
  </w:footnote>
  <w:footnote w:id="184">
    <w:p w14:paraId="3E4DEFAB" w14:textId="261C4C98" w:rsidR="00606116" w:rsidRPr="00AA7259" w:rsidRDefault="00606116" w:rsidP="00AA7259">
      <w:pPr>
        <w:pStyle w:val="FootnoteText"/>
        <w:rPr>
          <w:rFonts w:cs="Arial"/>
          <w:szCs w:val="16"/>
        </w:rPr>
      </w:pPr>
      <w:r w:rsidRPr="00AA7259">
        <w:rPr>
          <w:rStyle w:val="FootnoteReference"/>
          <w:rFonts w:cs="Arial"/>
          <w:szCs w:val="16"/>
        </w:rPr>
        <w:footnoteRef/>
      </w:r>
      <w:r>
        <w:rPr>
          <w:rFonts w:cs="Arial"/>
          <w:szCs w:val="16"/>
        </w:rPr>
        <w:t xml:space="preserve"> Jan Kellett</w:t>
      </w:r>
      <w:r w:rsidRPr="00AA7259">
        <w:rPr>
          <w:rFonts w:cs="Arial"/>
          <w:szCs w:val="16"/>
        </w:rPr>
        <w:t xml:space="preserve">, </w:t>
      </w:r>
      <w:r w:rsidRPr="0058424F">
        <w:rPr>
          <w:rFonts w:cs="Arial"/>
          <w:i/>
          <w:szCs w:val="16"/>
        </w:rPr>
        <w:t>A Review of the Emergency Shelter</w:t>
      </w:r>
      <w:r>
        <w:rPr>
          <w:rFonts w:cs="Arial"/>
          <w:i/>
          <w:szCs w:val="16"/>
        </w:rPr>
        <w:t xml:space="preserve"> </w:t>
      </w:r>
      <w:r w:rsidRPr="0058424F">
        <w:rPr>
          <w:rFonts w:cs="Arial"/>
          <w:i/>
          <w:szCs w:val="16"/>
        </w:rPr>
        <w:t>Cluster</w:t>
      </w:r>
      <w:r>
        <w:rPr>
          <w:rFonts w:cs="Arial"/>
          <w:i/>
          <w:szCs w:val="16"/>
        </w:rPr>
        <w:t>:</w:t>
      </w:r>
      <w:r w:rsidRPr="0058424F">
        <w:rPr>
          <w:rFonts w:cs="Arial"/>
          <w:i/>
          <w:szCs w:val="16"/>
        </w:rPr>
        <w:t xml:space="preserve"> Koshi Floods Emergency Response Nepal, from August 2008</w:t>
      </w:r>
      <w:r>
        <w:rPr>
          <w:rFonts w:cs="Arial"/>
          <w:szCs w:val="16"/>
        </w:rPr>
        <w:t xml:space="preserve"> (2009) &lt;</w:t>
      </w:r>
      <w:r w:rsidRPr="00F54857">
        <w:rPr>
          <w:rFonts w:cs="Arial"/>
          <w:szCs w:val="16"/>
        </w:rPr>
        <w:t>https://www.sheltercluster.org/sites/default/files/docs/nepal_koshi_floods_2008.pdf</w:t>
      </w:r>
      <w:r>
        <w:rPr>
          <w:rFonts w:cs="Arial"/>
          <w:szCs w:val="16"/>
        </w:rPr>
        <w:t>&gt;.</w:t>
      </w:r>
    </w:p>
  </w:footnote>
  <w:footnote w:id="185">
    <w:p w14:paraId="4EF038BB" w14:textId="26B32DA0"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107" w:name="_Hlk8912776"/>
      <w:r>
        <w:rPr>
          <w:rFonts w:cs="Arial"/>
          <w:szCs w:val="16"/>
        </w:rPr>
        <w:t xml:space="preserve">Global Shelter Cluster, </w:t>
      </w:r>
      <w:r>
        <w:rPr>
          <w:rFonts w:cs="Arial"/>
          <w:i/>
          <w:szCs w:val="16"/>
        </w:rPr>
        <w:t>Nepal: Strategic and Technical Guidance</w:t>
      </w:r>
      <w:r>
        <w:rPr>
          <w:rFonts w:cs="Arial"/>
          <w:szCs w:val="16"/>
        </w:rPr>
        <w:t xml:space="preserve"> (2015) &lt;</w:t>
      </w:r>
      <w:r w:rsidRPr="00AA7259">
        <w:rPr>
          <w:rFonts w:cs="Arial"/>
          <w:szCs w:val="16"/>
        </w:rPr>
        <w:t>https://www.sheltercluster.org/sites/default/files/docs/strategic_and_technical_guidance_20151013_0.pdf</w:t>
      </w:r>
      <w:r>
        <w:rPr>
          <w:rFonts w:cs="Arial"/>
          <w:szCs w:val="16"/>
        </w:rPr>
        <w:t>&gt;.</w:t>
      </w:r>
    </w:p>
    <w:bookmarkEnd w:id="107"/>
  </w:footnote>
  <w:footnote w:id="186">
    <w:p w14:paraId="70BD2DF4" w14:textId="42EA14C3" w:rsidR="00606116" w:rsidRPr="00AA7259" w:rsidRDefault="00606116" w:rsidP="00AA7259">
      <w:pPr>
        <w:pStyle w:val="FootnoteText"/>
        <w:rPr>
          <w:rFonts w:cs="Arial"/>
          <w:szCs w:val="16"/>
        </w:rPr>
      </w:pPr>
      <w:r w:rsidRPr="00AA7259">
        <w:rPr>
          <w:rStyle w:val="FootnoteReference"/>
          <w:rFonts w:cs="Arial"/>
          <w:szCs w:val="16"/>
        </w:rPr>
        <w:footnoteRef/>
      </w:r>
      <w:r w:rsidRPr="00AA7259">
        <w:rPr>
          <w:rFonts w:cs="Arial"/>
          <w:szCs w:val="16"/>
        </w:rPr>
        <w:t xml:space="preserve"> </w:t>
      </w:r>
      <w:bookmarkStart w:id="108" w:name="_Hlk8912845"/>
      <w:r>
        <w:rPr>
          <w:rFonts w:cs="Arial"/>
          <w:szCs w:val="16"/>
        </w:rPr>
        <w:t xml:space="preserve">Global Shelter Cluster, </w:t>
      </w:r>
      <w:r>
        <w:rPr>
          <w:rFonts w:cs="Arial"/>
          <w:i/>
          <w:szCs w:val="16"/>
        </w:rPr>
        <w:t xml:space="preserve">Nepal: November 2015 </w:t>
      </w:r>
      <w:r>
        <w:rPr>
          <w:rFonts w:cs="Arial"/>
          <w:szCs w:val="16"/>
        </w:rPr>
        <w:t>(2015) &lt;</w:t>
      </w:r>
      <w:r w:rsidRPr="00F54857">
        <w:rPr>
          <w:rFonts w:cs="Arial"/>
          <w:szCs w:val="16"/>
        </w:rPr>
        <w:t>https://www.sheltercluster.org/sites/default/files/docs/factsheet_0.pdf</w:t>
      </w:r>
      <w:r>
        <w:rPr>
          <w:rFonts w:cs="Arial"/>
          <w:szCs w:val="16"/>
        </w:rPr>
        <w:t>&gt;.</w:t>
      </w:r>
      <w:bookmarkEnd w:id="108"/>
    </w:p>
  </w:footnote>
  <w:footnote w:id="187">
    <w:p w14:paraId="2498E98C" w14:textId="292B5B2D" w:rsidR="00606116" w:rsidRPr="00AA7259" w:rsidRDefault="00606116" w:rsidP="00AA7259">
      <w:pPr>
        <w:pStyle w:val="FootnoteText"/>
        <w:rPr>
          <w:rFonts w:cs="Arial"/>
        </w:rPr>
      </w:pPr>
      <w:r w:rsidRPr="00AA7259">
        <w:rPr>
          <w:rStyle w:val="FootnoteReference"/>
          <w:rFonts w:cs="Arial"/>
          <w:szCs w:val="16"/>
        </w:rPr>
        <w:footnoteRef/>
      </w:r>
      <w:r w:rsidRPr="00AA7259">
        <w:rPr>
          <w:rFonts w:cs="Arial"/>
          <w:szCs w:val="16"/>
        </w:rPr>
        <w:t xml:space="preserve"> </w:t>
      </w:r>
      <w:bookmarkStart w:id="109" w:name="_Hlk8912883"/>
      <w:r>
        <w:rPr>
          <w:rFonts w:cs="Arial"/>
          <w:szCs w:val="16"/>
        </w:rPr>
        <w:t xml:space="preserve">Global Shelter Cluster, </w:t>
      </w:r>
      <w:r w:rsidRPr="00F54857">
        <w:rPr>
          <w:rFonts w:cs="Arial"/>
          <w:i/>
          <w:szCs w:val="16"/>
        </w:rPr>
        <w:t>Nepal Earthquake 2015</w:t>
      </w:r>
      <w:r>
        <w:rPr>
          <w:rFonts w:cs="Arial"/>
          <w:i/>
          <w:szCs w:val="16"/>
        </w:rPr>
        <w:t xml:space="preserve"> </w:t>
      </w:r>
      <w:r>
        <w:rPr>
          <w:rFonts w:cs="Arial"/>
          <w:szCs w:val="16"/>
        </w:rPr>
        <w:t>(2015) &lt;</w:t>
      </w:r>
      <w:r w:rsidRPr="00AA7259">
        <w:rPr>
          <w:rFonts w:cs="Arial"/>
          <w:szCs w:val="16"/>
        </w:rPr>
        <w:t>https://www.sheltercluster.org/response/nepal-earthquake-2015</w:t>
      </w:r>
      <w:r>
        <w:rPr>
          <w:rFonts w:cs="Arial"/>
          <w:szCs w:val="16"/>
        </w:rPr>
        <w:t>&gt;.</w:t>
      </w:r>
      <w:bookmarkEnd w:id="109"/>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79783" w14:textId="65F2ACFA" w:rsidR="00606116" w:rsidRPr="00C8043E" w:rsidRDefault="00606116" w:rsidP="00E273DA">
    <w:pPr>
      <w:spacing w:line="240" w:lineRule="auto"/>
      <w:jc w:val="right"/>
    </w:pPr>
    <w:r>
      <w:rPr>
        <w:noProof/>
      </w:rPr>
      <w:drawing>
        <wp:anchor distT="0" distB="0" distL="114300" distR="114300" simplePos="0" relativeHeight="251682816" behindDoc="0" locked="0" layoutInCell="1" allowOverlap="1" wp14:anchorId="154F9A78" wp14:editId="29E2E9BC">
          <wp:simplePos x="0" y="0"/>
          <wp:positionH relativeFrom="column">
            <wp:posOffset>-552186</wp:posOffset>
          </wp:positionH>
          <wp:positionV relativeFrom="paragraph">
            <wp:posOffset>-270510</wp:posOffset>
          </wp:positionV>
          <wp:extent cx="6976800" cy="745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976800" cy="745200"/>
                  </a:xfrm>
                  <a:prstGeom prst="rect">
                    <a:avLst/>
                  </a:prstGeom>
                </pic:spPr>
              </pic:pic>
            </a:graphicData>
          </a:graphic>
          <wp14:sizeRelH relativeFrom="page">
            <wp14:pctWidth>0</wp14:pctWidth>
          </wp14:sizeRelH>
          <wp14:sizeRelV relativeFrom="page">
            <wp14:pctHeight>0</wp14:pctHeight>
          </wp14:sizeRelV>
        </wp:anchor>
      </w:drawing>
    </w:r>
  </w:p>
  <w:p w14:paraId="099C3EAE" w14:textId="77777777" w:rsidR="00606116" w:rsidRPr="002055CC" w:rsidRDefault="00606116" w:rsidP="00E273D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27087" w14:textId="124C32C1" w:rsidR="00606116" w:rsidRDefault="00606116">
    <w:pPr>
      <w:pStyle w:val="Header"/>
    </w:pPr>
    <w:r>
      <w:rPr>
        <w:sz w:val="2"/>
      </w:rPr>
      <mc:AlternateContent>
        <mc:Choice Requires="wps">
          <w:drawing>
            <wp:anchor distT="0" distB="0" distL="114300" distR="114300" simplePos="0" relativeHeight="251684864" behindDoc="1" locked="1" layoutInCell="0" allowOverlap="1" wp14:anchorId="4B1FE6CB" wp14:editId="65C35978">
              <wp:simplePos x="0" y="0"/>
              <wp:positionH relativeFrom="page">
                <wp:posOffset>1188085</wp:posOffset>
              </wp:positionH>
              <wp:positionV relativeFrom="page">
                <wp:posOffset>1739265</wp:posOffset>
              </wp:positionV>
              <wp:extent cx="1009650" cy="342900"/>
              <wp:effectExtent l="26035" t="234315" r="0" b="232410"/>
              <wp:wrapNone/>
              <wp:docPr id="4" name="WatermarkDraft_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1009650" cy="3429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68E4FA5" w14:textId="77777777" w:rsidR="00606116" w:rsidRDefault="00606116" w:rsidP="00D77917">
                          <w:pPr>
                            <w:pStyle w:val="NormalWeb"/>
                            <w:spacing w:before="0" w:beforeAutospacing="0" w:after="0" w:afterAutospacing="0"/>
                            <w:jc w:val="center"/>
                          </w:pPr>
                          <w:r>
                            <w:rPr>
                              <w:rFonts w:ascii="Arial" w:hAnsi="Arial" w:cs="Arial"/>
                              <w:b/>
                              <w:bCs/>
                              <w:color w:val="FF9900"/>
                              <w:sz w:val="48"/>
                              <w:szCs w:val="48"/>
                            </w:rPr>
                            <w: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1FE6CB" id="_x0000_t202" coordsize="21600,21600" o:spt="202" path="m,l,21600r21600,l21600,xe">
              <v:stroke joinstyle="miter"/>
              <v:path gradientshapeok="t" o:connecttype="rect"/>
            </v:shapetype>
            <v:shape id="WatermarkDraft_1" o:spid="_x0000_s1027" type="#_x0000_t202" style="position:absolute;margin-left:93.55pt;margin-top:136.95pt;width:79.5pt;height:27pt;rotation:-30;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" o:allowincell="f" filled="f" stroked="f">
              <v:stroke joinstyle="round"/>
              <o:lock v:ext="edit" shapetype="t"/>
              <v:textbox style="mso-fit-shape-to-text:t">
                <w:txbxContent>
                  <w:p w14:paraId="468E4FA5" w14:textId="77777777" w:rsidR="00606116" w:rsidRDefault="00606116" w:rsidP="00D77917">
                    <w:pPr>
                      <w:pStyle w:val="NormalWeb"/>
                      <w:spacing w:before="0" w:beforeAutospacing="0" w:after="0" w:afterAutospacing="0"/>
                      <w:jc w:val="center"/>
                    </w:pPr>
                    <w:r>
                      <w:rPr>
                        <w:rFonts w:ascii="Arial" w:hAnsi="Arial" w:cs="Arial"/>
                        <w:b/>
                        <w:bCs/>
                        <w:color w:val="FF9900"/>
                        <w:sz w:val="48"/>
                        <w:szCs w:val="48"/>
                      </w:rPr>
                      <w:t xml:space="preserve">     </w:t>
                    </w:r>
                  </w:p>
                </w:txbxContent>
              </v:textbox>
              <w10:wrap anchorx="page" anchory="page"/>
              <w10:anchorlock/>
            </v:shape>
          </w:pict>
        </mc:Fallback>
      </mc:AlternateContent>
    </w:r>
    <w:r>
      <w:drawing>
        <wp:anchor distT="0" distB="0" distL="114300" distR="114300" simplePos="0" relativeHeight="251666432" behindDoc="1" locked="1" layoutInCell="1" allowOverlap="1" wp14:anchorId="002E9D15" wp14:editId="174CDF43">
          <wp:simplePos x="0" y="0"/>
          <wp:positionH relativeFrom="column">
            <wp:posOffset>3663218</wp:posOffset>
          </wp:positionH>
          <wp:positionV relativeFrom="page">
            <wp:posOffset>431800</wp:posOffset>
          </wp:positionV>
          <wp:extent cx="2268000" cy="212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21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6946"/>
      <w:gridCol w:w="2410"/>
    </w:tblGrid>
    <w:tr w:rsidR="00606116" w14:paraId="64C56CE3" w14:textId="77777777" w:rsidTr="00B72B93">
      <w:trPr>
        <w:trHeight w:hRule="exact" w:val="900"/>
      </w:trPr>
      <w:tc>
        <w:tcPr>
          <w:tcW w:w="6946" w:type="dxa"/>
          <w:vAlign w:val="bottom"/>
        </w:tcPr>
        <w:p w14:paraId="6361A49F" w14:textId="7273D193" w:rsidR="00606116" w:rsidRDefault="00606116" w:rsidP="0045070A">
          <w:pPr>
            <w:pStyle w:val="HeaderTitle"/>
          </w:pPr>
        </w:p>
      </w:tc>
      <w:tc>
        <w:tcPr>
          <w:tcW w:w="2410" w:type="dxa"/>
          <w:vAlign w:val="bottom"/>
        </w:tcPr>
        <w:p w14:paraId="33F54E31" w14:textId="77777777" w:rsidR="00606116" w:rsidRPr="006A4582" w:rsidRDefault="00606116" w:rsidP="0045070A">
          <w:pPr>
            <w:pStyle w:val="HeaderTitle"/>
            <w:jc w:val="right"/>
            <w:rPr>
              <w:rFonts w:ascii="Times New Roman" w:hAnsi="Times New Roman"/>
            </w:rPr>
          </w:pPr>
          <w:r>
            <w:rPr>
              <w:rFonts w:ascii="Times New Roman" w:hAnsi="Times New Roman"/>
            </w:rPr>
            <w:drawing>
              <wp:inline distT="0" distB="0" distL="0" distR="0" wp14:anchorId="149C4710" wp14:editId="4A5EF080">
                <wp:extent cx="1442085" cy="132080"/>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02051" nam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2085" cy="132080"/>
                        </a:xfrm>
                        <a:prstGeom prst="rect">
                          <a:avLst/>
                        </a:prstGeom>
                        <a:noFill/>
                        <a:ln>
                          <a:noFill/>
                        </a:ln>
                      </pic:spPr>
                    </pic:pic>
                  </a:graphicData>
                </a:graphic>
              </wp:inline>
            </w:drawing>
          </w:r>
        </w:p>
      </w:tc>
    </w:tr>
  </w:tbl>
  <w:p w14:paraId="04EF3E6C" w14:textId="77777777" w:rsidR="00606116" w:rsidRPr="00620C38" w:rsidRDefault="00606116" w:rsidP="00620C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0" w:type="dxa"/>
        <w:right w:w="0" w:type="dxa"/>
      </w:tblCellMar>
      <w:tblLook w:val="0000" w:firstRow="0" w:lastRow="0" w:firstColumn="0" w:lastColumn="0" w:noHBand="0" w:noVBand="0"/>
    </w:tblPr>
    <w:tblGrid>
      <w:gridCol w:w="6946"/>
      <w:gridCol w:w="2410"/>
    </w:tblGrid>
    <w:tr w:rsidR="00606116" w:rsidRPr="0077043A" w14:paraId="3F12A010" w14:textId="77777777" w:rsidTr="00E273DA">
      <w:trPr>
        <w:trHeight w:hRule="exact" w:val="900"/>
      </w:trPr>
      <w:tc>
        <w:tcPr>
          <w:tcW w:w="6946" w:type="dxa"/>
          <w:vAlign w:val="bottom"/>
        </w:tcPr>
        <w:p w14:paraId="419FF92D" w14:textId="4662B33A" w:rsidR="00606116" w:rsidRDefault="00606116" w:rsidP="006169DA">
          <w:pPr>
            <w:pStyle w:val="HeaderTitle"/>
            <w:ind w:left="720"/>
            <w:jc w:val="right"/>
          </w:pPr>
          <w:r>
            <w:rPr>
              <w:sz w:val="2"/>
            </w:rPr>
            <mc:AlternateContent>
              <mc:Choice Requires="wps">
                <w:drawing>
                  <wp:anchor distT="0" distB="0" distL="114300" distR="114300" simplePos="0" relativeHeight="251688960" behindDoc="1" locked="1" layoutInCell="0" allowOverlap="1" wp14:anchorId="373D477A" wp14:editId="54FB43BE">
                    <wp:simplePos x="0" y="0"/>
                    <wp:positionH relativeFrom="page">
                      <wp:posOffset>1188085</wp:posOffset>
                    </wp:positionH>
                    <wp:positionV relativeFrom="page">
                      <wp:posOffset>1739265</wp:posOffset>
                    </wp:positionV>
                    <wp:extent cx="1009650" cy="342900"/>
                    <wp:effectExtent l="26035" t="234315" r="0" b="232410"/>
                    <wp:wrapNone/>
                    <wp:docPr id="2" name="WatermarkDraft_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00000">
                              <a:off x="0" y="0"/>
                              <a:ext cx="1009650" cy="3429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EE78265" w14:textId="77777777" w:rsidR="00606116" w:rsidRDefault="00606116" w:rsidP="00D77917">
                                <w:pPr>
                                  <w:pStyle w:val="NormalWeb"/>
                                  <w:spacing w:before="0" w:beforeAutospacing="0" w:after="0" w:afterAutospacing="0"/>
                                  <w:jc w:val="center"/>
                                </w:pPr>
                                <w:r>
                                  <w:rPr>
                                    <w:rFonts w:ascii="Arial" w:hAnsi="Arial" w:cs="Arial"/>
                                    <w:b/>
                                    <w:bCs/>
                                    <w:color w:val="FF9900"/>
                                    <w:sz w:val="48"/>
                                    <w:szCs w:val="48"/>
                                  </w:rPr>
                                  <w:t>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3D477A" id="_x0000_t202" coordsize="21600,21600" o:spt="202" path="m,l,21600r21600,l21600,xe">
                    <v:stroke joinstyle="miter"/>
                    <v:path gradientshapeok="t" o:connecttype="rect"/>
                  </v:shapetype>
                  <v:shape id="WatermarkDraft_2" o:spid="_x0000_s1029" type="#_x0000_t202" style="position:absolute;left:0;text-align:left;margin-left:93.55pt;margin-top:136.95pt;width:79.5pt;height:27pt;rotation:-30;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" o:allowincell="f" filled="f" stroked="f">
                    <v:stroke joinstyle="round"/>
                    <o:lock v:ext="edit" shapetype="t"/>
                    <v:textbox style="mso-fit-shape-to-text:t">
                      <w:txbxContent>
                        <w:p w14:paraId="6EE78265" w14:textId="77777777" w:rsidR="00606116" w:rsidRDefault="00606116" w:rsidP="00D77917">
                          <w:pPr>
                            <w:pStyle w:val="NormalWeb"/>
                            <w:spacing w:before="0" w:beforeAutospacing="0" w:after="0" w:afterAutospacing="0"/>
                            <w:jc w:val="center"/>
                          </w:pPr>
                          <w:r>
                            <w:rPr>
                              <w:rFonts w:ascii="Arial" w:hAnsi="Arial" w:cs="Arial"/>
                              <w:b/>
                              <w:bCs/>
                              <w:color w:val="FF9900"/>
                              <w:sz w:val="48"/>
                              <w:szCs w:val="48"/>
                            </w:rPr>
                            <w:t xml:space="preserve">     </w:t>
                          </w:r>
                        </w:p>
                      </w:txbxContent>
                    </v:textbox>
                    <w10:wrap anchorx="page" anchory="page"/>
                    <w10:anchorlock/>
                  </v:shape>
                </w:pict>
              </mc:Fallback>
            </mc:AlternateContent>
          </w:r>
          <w:r>
            <w:drawing>
              <wp:anchor distT="0" distB="0" distL="114300" distR="114300" simplePos="0" relativeHeight="251678720" behindDoc="0" locked="0" layoutInCell="1" allowOverlap="1" wp14:anchorId="44EBD927" wp14:editId="26F69219">
                <wp:simplePos x="0" y="0"/>
                <wp:positionH relativeFrom="column">
                  <wp:posOffset>-568960</wp:posOffset>
                </wp:positionH>
                <wp:positionV relativeFrom="paragraph">
                  <wp:posOffset>-626745</wp:posOffset>
                </wp:positionV>
                <wp:extent cx="6976800" cy="745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976800" cy="745200"/>
                        </a:xfrm>
                        <a:prstGeom prst="rect">
                          <a:avLst/>
                        </a:prstGeom>
                      </pic:spPr>
                    </pic:pic>
                  </a:graphicData>
                </a:graphic>
                <wp14:sizeRelH relativeFrom="page">
                  <wp14:pctWidth>0</wp14:pctWidth>
                </wp14:sizeRelH>
                <wp14:sizeRelV relativeFrom="page">
                  <wp14:pctHeight>0</wp14:pctHeight>
                </wp14:sizeRelV>
              </wp:anchor>
            </w:drawing>
          </w:r>
        </w:p>
      </w:tc>
      <w:tc>
        <w:tcPr>
          <w:tcW w:w="2410" w:type="dxa"/>
          <w:vAlign w:val="bottom"/>
        </w:tcPr>
        <w:p w14:paraId="3126F85C" w14:textId="77777777" w:rsidR="00606116" w:rsidRPr="006A4582" w:rsidRDefault="00606116" w:rsidP="00E273DA">
          <w:pPr>
            <w:pStyle w:val="HeaderTitle"/>
            <w:jc w:val="right"/>
            <w:rPr>
              <w:rFonts w:ascii="Times New Roman" w:hAnsi="Times New Roman"/>
            </w:rPr>
          </w:pPr>
        </w:p>
      </w:tc>
    </w:tr>
  </w:tbl>
  <w:p w14:paraId="489359F5" w14:textId="77777777" w:rsidR="00606116" w:rsidRPr="00620C38" w:rsidRDefault="00606116" w:rsidP="00620C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A3FCB"/>
    <w:multiLevelType w:val="hybridMultilevel"/>
    <w:tmpl w:val="2A58E95A"/>
    <w:lvl w:ilvl="0" w:tplc="9E04A57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B91A9D"/>
    <w:multiLevelType w:val="multilevel"/>
    <w:tmpl w:val="AE406988"/>
    <w:lvl w:ilvl="0">
      <w:start w:val="1"/>
      <w:numFmt w:val="decimal"/>
      <w:pStyle w:val="level1"/>
      <w:lvlText w:val="%1"/>
      <w:lvlJc w:val="left"/>
      <w:pPr>
        <w:tabs>
          <w:tab w:val="num" w:pos="709"/>
        </w:tabs>
        <w:ind w:left="709" w:hanging="709"/>
      </w:pPr>
      <w:rPr>
        <w:rFonts w:hint="default"/>
      </w:rPr>
    </w:lvl>
    <w:lvl w:ilvl="1">
      <w:start w:val="1"/>
      <w:numFmt w:val="decimal"/>
      <w:pStyle w:val="level2"/>
      <w:lvlText w:val="%1.%2"/>
      <w:lvlJc w:val="left"/>
      <w:pPr>
        <w:tabs>
          <w:tab w:val="num" w:pos="709"/>
        </w:tabs>
        <w:ind w:left="709" w:hanging="709"/>
      </w:pPr>
      <w:rPr>
        <w:rFonts w:hint="default"/>
      </w:rPr>
    </w:lvl>
    <w:lvl w:ilvl="2">
      <w:start w:val="1"/>
      <w:numFmt w:val="lowerLetter"/>
      <w:pStyle w:val="level3"/>
      <w:lvlText w:val="(%3)"/>
      <w:lvlJc w:val="left"/>
      <w:pPr>
        <w:tabs>
          <w:tab w:val="num" w:pos="1418"/>
        </w:tabs>
        <w:ind w:left="1418" w:hanging="709"/>
      </w:pPr>
      <w:rPr>
        <w:rFonts w:hint="default"/>
      </w:rPr>
    </w:lvl>
    <w:lvl w:ilvl="3">
      <w:start w:val="1"/>
      <w:numFmt w:val="lowerRoman"/>
      <w:pStyle w:val="level4"/>
      <w:lvlText w:val="(%4)"/>
      <w:lvlJc w:val="left"/>
      <w:pPr>
        <w:tabs>
          <w:tab w:val="num" w:pos="2126"/>
        </w:tabs>
        <w:ind w:left="2126" w:hanging="708"/>
      </w:pPr>
      <w:rPr>
        <w:rFonts w:hint="default"/>
      </w:rPr>
    </w:lvl>
    <w:lvl w:ilvl="4">
      <w:start w:val="1"/>
      <w:numFmt w:val="upperLetter"/>
      <w:pStyle w:val="level5"/>
      <w:lvlText w:val="(%5)"/>
      <w:lvlJc w:val="left"/>
      <w:pPr>
        <w:tabs>
          <w:tab w:val="num" w:pos="2835"/>
        </w:tabs>
        <w:ind w:left="2835" w:hanging="709"/>
      </w:pPr>
      <w:rPr>
        <w:rFonts w:hint="default"/>
      </w:rPr>
    </w:lvl>
    <w:lvl w:ilvl="5">
      <w:start w:val="1"/>
      <w:numFmt w:val="decimal"/>
      <w:pStyle w:val="level6"/>
      <w:lvlText w:val="(%6)"/>
      <w:lvlJc w:val="left"/>
      <w:pPr>
        <w:tabs>
          <w:tab w:val="num" w:pos="3544"/>
        </w:tabs>
        <w:ind w:left="3544" w:hanging="709"/>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AB503A"/>
    <w:multiLevelType w:val="multilevel"/>
    <w:tmpl w:val="39B64CF4"/>
    <w:lvl w:ilvl="0">
      <w:start w:val="1"/>
      <w:numFmt w:val="decimal"/>
      <w:lvlText w:val="%1."/>
      <w:lvlJc w:val="left"/>
      <w:pPr>
        <w:ind w:left="1778" w:hanging="360"/>
      </w:pPr>
      <w:rPr>
        <w:rFonts w:cstheme="minorBidi"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3" w15:restartNumberingAfterBreak="0">
    <w:nsid w:val="121329BB"/>
    <w:multiLevelType w:val="multilevel"/>
    <w:tmpl w:val="DEEC7F82"/>
    <w:lvl w:ilvl="0">
      <w:start w:val="1"/>
      <w:numFmt w:val="bullet"/>
      <w:lvlText w:val="•"/>
      <w:lvlJc w:val="left"/>
      <w:pPr>
        <w:ind w:left="709" w:hanging="709"/>
      </w:pPr>
      <w:rPr>
        <w:rFonts w:ascii="Garamond" w:hAnsi="Garamond" w:hint="default"/>
        <w:color w:val="000000" w:themeColor="text1"/>
      </w:rPr>
    </w:lvl>
    <w:lvl w:ilvl="1">
      <w:start w:val="1"/>
      <w:numFmt w:val="bullet"/>
      <w:lvlText w:val="•"/>
      <w:lvlJc w:val="left"/>
      <w:pPr>
        <w:ind w:left="1418" w:hanging="709"/>
      </w:pPr>
      <w:rPr>
        <w:rFonts w:ascii="Garamond" w:hAnsi="Garamond" w:hint="default"/>
        <w:color w:val="000000" w:themeColor="text1"/>
      </w:rPr>
    </w:lvl>
    <w:lvl w:ilvl="2">
      <w:start w:val="1"/>
      <w:numFmt w:val="bullet"/>
      <w:lvlText w:val="•"/>
      <w:lvlJc w:val="left"/>
      <w:pPr>
        <w:ind w:left="2127" w:hanging="709"/>
      </w:pPr>
      <w:rPr>
        <w:rFonts w:ascii="Garamond" w:hAnsi="Garamond" w:hint="default"/>
        <w:color w:val="000000" w:themeColor="text1"/>
      </w:rPr>
    </w:lvl>
    <w:lvl w:ilvl="3">
      <w:start w:val="1"/>
      <w:numFmt w:val="none"/>
      <w:lvlText w:val=""/>
      <w:lvlJc w:val="left"/>
      <w:pPr>
        <w:ind w:left="2836" w:hanging="709"/>
      </w:pPr>
      <w:rPr>
        <w:rFonts w:hint="default"/>
      </w:rPr>
    </w:lvl>
    <w:lvl w:ilvl="4">
      <w:start w:val="1"/>
      <w:numFmt w:val="none"/>
      <w:lvlText w:val=""/>
      <w:lvlJc w:val="left"/>
      <w:pPr>
        <w:ind w:left="3545" w:hanging="709"/>
      </w:pPr>
      <w:rPr>
        <w:rFonts w:hint="default"/>
      </w:rPr>
    </w:lvl>
    <w:lvl w:ilvl="5">
      <w:start w:val="1"/>
      <w:numFmt w:val="none"/>
      <w:lvlText w:val=""/>
      <w:lvlJc w:val="left"/>
      <w:pPr>
        <w:ind w:left="4254" w:hanging="709"/>
      </w:pPr>
      <w:rPr>
        <w:rFonts w:hint="default"/>
      </w:rPr>
    </w:lvl>
    <w:lvl w:ilvl="6">
      <w:start w:val="1"/>
      <w:numFmt w:val="none"/>
      <w:lvlText w:val="%7"/>
      <w:lvlJc w:val="left"/>
      <w:pPr>
        <w:ind w:left="4963" w:hanging="709"/>
      </w:pPr>
      <w:rPr>
        <w:rFonts w:hint="default"/>
      </w:rPr>
    </w:lvl>
    <w:lvl w:ilvl="7">
      <w:start w:val="1"/>
      <w:numFmt w:val="none"/>
      <w:lvlText w:val="%8"/>
      <w:lvlJc w:val="left"/>
      <w:pPr>
        <w:ind w:left="5672" w:hanging="709"/>
      </w:pPr>
      <w:rPr>
        <w:rFonts w:hint="default"/>
      </w:rPr>
    </w:lvl>
    <w:lvl w:ilvl="8">
      <w:start w:val="1"/>
      <w:numFmt w:val="none"/>
      <w:lvlText w:val=""/>
      <w:lvlJc w:val="left"/>
      <w:pPr>
        <w:ind w:left="6381" w:hanging="709"/>
      </w:pPr>
      <w:rPr>
        <w:rFonts w:hint="default"/>
      </w:rPr>
    </w:lvl>
  </w:abstractNum>
  <w:abstractNum w:abstractNumId="4" w15:restartNumberingAfterBreak="0">
    <w:nsid w:val="32DB2662"/>
    <w:multiLevelType w:val="multilevel"/>
    <w:tmpl w:val="A108549C"/>
    <w:lvl w:ilvl="0">
      <w:start w:val="1"/>
      <w:numFmt w:val="decimal"/>
      <w:pStyle w:val="GNLevel1"/>
      <w:lvlText w:val="%1"/>
      <w:lvlJc w:val="left"/>
      <w:pPr>
        <w:tabs>
          <w:tab w:val="num" w:pos="709"/>
        </w:tabs>
        <w:ind w:left="709" w:hanging="709"/>
      </w:pPr>
      <w:rPr>
        <w:rFonts w:hint="default"/>
      </w:rPr>
    </w:lvl>
    <w:lvl w:ilvl="1">
      <w:start w:val="1"/>
      <w:numFmt w:val="lowerLetter"/>
      <w:pStyle w:val="GNLevel2"/>
      <w:lvlText w:val="(%2)"/>
      <w:lvlJc w:val="left"/>
      <w:pPr>
        <w:tabs>
          <w:tab w:val="num" w:pos="1418"/>
        </w:tabs>
        <w:ind w:left="1418" w:hanging="709"/>
      </w:pPr>
      <w:rPr>
        <w:rFonts w:hint="default"/>
      </w:rPr>
    </w:lvl>
    <w:lvl w:ilvl="2">
      <w:start w:val="1"/>
      <w:numFmt w:val="lowerRoman"/>
      <w:pStyle w:val="GNLevel3"/>
      <w:lvlText w:val="(%3)"/>
      <w:lvlJc w:val="left"/>
      <w:pPr>
        <w:tabs>
          <w:tab w:val="num" w:pos="2126"/>
        </w:tabs>
        <w:ind w:left="2126" w:hanging="708"/>
      </w:pPr>
      <w:rPr>
        <w:rFonts w:hint="default"/>
      </w:rPr>
    </w:lvl>
    <w:lvl w:ilvl="3">
      <w:start w:val="1"/>
      <w:numFmt w:val="upperLetter"/>
      <w:pStyle w:val="GNLevel4"/>
      <w:lvlText w:val="(%4)"/>
      <w:lvlJc w:val="left"/>
      <w:pPr>
        <w:tabs>
          <w:tab w:val="num" w:pos="2835"/>
        </w:tabs>
        <w:ind w:left="2835"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4"/>
        </w:tabs>
        <w:ind w:left="3544" w:hanging="709"/>
      </w:pPr>
      <w:rPr>
        <w:rFonts w:hint="default"/>
      </w:rPr>
    </w:lvl>
    <w:lvl w:ilvl="6">
      <w:start w:val="1"/>
      <w:numFmt w:val="none"/>
      <w:lvlText w:val=""/>
      <w:lvlJc w:val="left"/>
      <w:pPr>
        <w:tabs>
          <w:tab w:val="num" w:pos="3402"/>
        </w:tabs>
        <w:ind w:left="3402" w:hanging="567"/>
      </w:pPr>
      <w:rPr>
        <w:rFonts w:hint="default"/>
      </w:rPr>
    </w:lvl>
    <w:lvl w:ilvl="7">
      <w:start w:val="1"/>
      <w:numFmt w:val="none"/>
      <w:lvlText w:val=""/>
      <w:lvlJc w:val="left"/>
      <w:pPr>
        <w:tabs>
          <w:tab w:val="num" w:pos="3402"/>
        </w:tabs>
        <w:ind w:left="3402" w:hanging="567"/>
      </w:pPr>
      <w:rPr>
        <w:rFonts w:hint="default"/>
      </w:rPr>
    </w:lvl>
    <w:lvl w:ilvl="8">
      <w:start w:val="1"/>
      <w:numFmt w:val="none"/>
      <w:lvlText w:val=""/>
      <w:lvlJc w:val="left"/>
      <w:pPr>
        <w:tabs>
          <w:tab w:val="num" w:pos="3402"/>
        </w:tabs>
        <w:ind w:left="3402" w:hanging="567"/>
      </w:pPr>
      <w:rPr>
        <w:rFonts w:hint="default"/>
      </w:rPr>
    </w:lvl>
  </w:abstractNum>
  <w:abstractNum w:abstractNumId="5" w15:restartNumberingAfterBreak="0">
    <w:nsid w:val="3CA8400C"/>
    <w:multiLevelType w:val="singleLevel"/>
    <w:tmpl w:val="C6EE1BF2"/>
    <w:lvl w:ilvl="0">
      <w:start w:val="1"/>
      <w:numFmt w:val="bullet"/>
      <w:pStyle w:val="Bullet2"/>
      <w:lvlText w:val="•"/>
      <w:lvlJc w:val="left"/>
      <w:pPr>
        <w:tabs>
          <w:tab w:val="num" w:pos="1418"/>
        </w:tabs>
        <w:ind w:left="1418" w:hanging="709"/>
      </w:pPr>
      <w:rPr>
        <w:rFonts w:ascii="Garamond" w:hAnsi="Garamond" w:hint="default"/>
        <w:b w:val="0"/>
        <w:i w:val="0"/>
        <w:sz w:val="24"/>
      </w:rPr>
    </w:lvl>
  </w:abstractNum>
  <w:abstractNum w:abstractNumId="6" w15:restartNumberingAfterBreak="0">
    <w:nsid w:val="3D5A7286"/>
    <w:multiLevelType w:val="multilevel"/>
    <w:tmpl w:val="BF42F5B6"/>
    <w:lvl w:ilvl="0">
      <w:start w:val="1"/>
      <w:numFmt w:val="decimal"/>
      <w:pStyle w:val="AllensHeading1"/>
      <w:lvlText w:val="%1"/>
      <w:lvlJc w:val="left"/>
      <w:pPr>
        <w:tabs>
          <w:tab w:val="num" w:pos="709"/>
        </w:tabs>
        <w:ind w:left="709" w:hanging="709"/>
      </w:pPr>
      <w:rPr>
        <w:rFonts w:hint="default"/>
      </w:rPr>
    </w:lvl>
    <w:lvl w:ilvl="1">
      <w:start w:val="1"/>
      <w:numFmt w:val="decimal"/>
      <w:pStyle w:val="AllensHeading2"/>
      <w:lvlText w:val="%1.%2"/>
      <w:lvlJc w:val="left"/>
      <w:pPr>
        <w:tabs>
          <w:tab w:val="num" w:pos="709"/>
        </w:tabs>
        <w:ind w:left="709" w:hanging="709"/>
      </w:pPr>
      <w:rPr>
        <w:rFonts w:hint="default"/>
      </w:rPr>
    </w:lvl>
    <w:lvl w:ilvl="2">
      <w:start w:val="1"/>
      <w:numFmt w:val="lowerLetter"/>
      <w:pStyle w:val="AllensHeading3"/>
      <w:lvlText w:val="(%3)"/>
      <w:lvlJc w:val="left"/>
      <w:pPr>
        <w:tabs>
          <w:tab w:val="num" w:pos="1418"/>
        </w:tabs>
        <w:ind w:left="1418" w:hanging="709"/>
      </w:pPr>
      <w:rPr>
        <w:rFonts w:hint="default"/>
        <w:b/>
      </w:rPr>
    </w:lvl>
    <w:lvl w:ilvl="3">
      <w:start w:val="1"/>
      <w:numFmt w:val="lowerRoman"/>
      <w:pStyle w:val="AllensHeading4"/>
      <w:lvlText w:val="(%4)"/>
      <w:lvlJc w:val="left"/>
      <w:pPr>
        <w:tabs>
          <w:tab w:val="num" w:pos="2126"/>
        </w:tabs>
        <w:ind w:left="2126" w:hanging="708"/>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upperLetter"/>
      <w:pStyle w:val="AllensHeading5"/>
      <w:lvlText w:val="(%5)"/>
      <w:lvlJc w:val="left"/>
      <w:pPr>
        <w:tabs>
          <w:tab w:val="num" w:pos="2835"/>
        </w:tabs>
        <w:ind w:left="2835" w:hanging="709"/>
      </w:pPr>
      <w:rPr>
        <w:rFonts w:hint="default"/>
      </w:rPr>
    </w:lvl>
    <w:lvl w:ilvl="5">
      <w:start w:val="1"/>
      <w:numFmt w:val="decimal"/>
      <w:pStyle w:val="AllensHeading6"/>
      <w:lvlText w:val="(%6)"/>
      <w:lvlJc w:val="left"/>
      <w:pPr>
        <w:tabs>
          <w:tab w:val="num" w:pos="3544"/>
        </w:tabs>
        <w:ind w:left="3544" w:hanging="709"/>
      </w:pPr>
      <w:rPr>
        <w:rFonts w:hint="default"/>
      </w:rPr>
    </w:lvl>
    <w:lvl w:ilvl="6">
      <w:start w:val="2"/>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3D7E39C9"/>
    <w:multiLevelType w:val="multilevel"/>
    <w:tmpl w:val="EAAC60A0"/>
    <w:lvl w:ilvl="0">
      <w:start w:val="1"/>
      <w:numFmt w:val="decimal"/>
      <w:pStyle w:val="Schedule"/>
      <w:suff w:val="nothing"/>
      <w:lvlText w:val="Schedule %1"/>
      <w:lvlJc w:val="left"/>
      <w:pPr>
        <w:ind w:left="709" w:hanging="709"/>
      </w:pPr>
      <w:rPr>
        <w:rFonts w:hint="default"/>
      </w:rPr>
    </w:lvl>
    <w:lvl w:ilvl="1">
      <w:start w:val="1"/>
      <w:numFmt w:val="none"/>
      <w:pStyle w:val="ScheduleHeading"/>
      <w:suff w:val="nothing"/>
      <w:lvlText w:val=""/>
      <w:lvlJc w:val="left"/>
      <w:pPr>
        <w:ind w:left="709" w:hanging="709"/>
      </w:pPr>
      <w:rPr>
        <w:rFonts w:hint="default"/>
      </w:rPr>
    </w:lvl>
    <w:lvl w:ilvl="2">
      <w:start w:val="1"/>
      <w:numFmt w:val="decimal"/>
      <w:lvlRestart w:val="1"/>
      <w:pStyle w:val="Schedule1"/>
      <w:lvlText w:val="%3"/>
      <w:lvlJc w:val="left"/>
      <w:pPr>
        <w:tabs>
          <w:tab w:val="num" w:pos="709"/>
        </w:tabs>
        <w:ind w:left="709" w:hanging="709"/>
      </w:pPr>
      <w:rPr>
        <w:rFonts w:hint="default"/>
      </w:rPr>
    </w:lvl>
    <w:lvl w:ilvl="3">
      <w:start w:val="1"/>
      <w:numFmt w:val="decimal"/>
      <w:pStyle w:val="Schedule2"/>
      <w:lvlText w:val="%3.%4"/>
      <w:lvlJc w:val="left"/>
      <w:pPr>
        <w:tabs>
          <w:tab w:val="num" w:pos="709"/>
        </w:tabs>
        <w:ind w:left="709" w:hanging="709"/>
      </w:pPr>
      <w:rPr>
        <w:rFonts w:hint="default"/>
      </w:rPr>
    </w:lvl>
    <w:lvl w:ilvl="4">
      <w:start w:val="1"/>
      <w:numFmt w:val="lowerLetter"/>
      <w:pStyle w:val="Schedule3"/>
      <w:lvlText w:val="(%5)"/>
      <w:lvlJc w:val="left"/>
      <w:pPr>
        <w:tabs>
          <w:tab w:val="num" w:pos="1418"/>
        </w:tabs>
        <w:ind w:left="1418" w:hanging="709"/>
      </w:pPr>
      <w:rPr>
        <w:rFonts w:hint="default"/>
      </w:rPr>
    </w:lvl>
    <w:lvl w:ilvl="5">
      <w:start w:val="1"/>
      <w:numFmt w:val="lowerRoman"/>
      <w:pStyle w:val="Schedule4"/>
      <w:lvlText w:val="(%6)"/>
      <w:lvlJc w:val="left"/>
      <w:pPr>
        <w:tabs>
          <w:tab w:val="num" w:pos="2126"/>
        </w:tabs>
        <w:ind w:left="2126" w:hanging="708"/>
      </w:pPr>
      <w:rPr>
        <w:rFonts w:hint="default"/>
      </w:rPr>
    </w:lvl>
    <w:lvl w:ilvl="6">
      <w:start w:val="1"/>
      <w:numFmt w:val="upperLetter"/>
      <w:pStyle w:val="Schedule5"/>
      <w:lvlText w:val="(%7)"/>
      <w:lvlJc w:val="left"/>
      <w:pPr>
        <w:tabs>
          <w:tab w:val="num" w:pos="2835"/>
        </w:tabs>
        <w:ind w:left="2835" w:hanging="709"/>
      </w:pPr>
      <w:rPr>
        <w:rFonts w:hint="default"/>
      </w:rPr>
    </w:lvl>
    <w:lvl w:ilvl="7">
      <w:start w:val="1"/>
      <w:numFmt w:val="decimal"/>
      <w:pStyle w:val="Schedule6"/>
      <w:lvlText w:val="(%8)"/>
      <w:lvlJc w:val="left"/>
      <w:pPr>
        <w:tabs>
          <w:tab w:val="num" w:pos="3544"/>
        </w:tabs>
        <w:ind w:left="3544" w:hanging="709"/>
      </w:pPr>
      <w:rPr>
        <w:rFonts w:hint="default"/>
      </w:rPr>
    </w:lvl>
    <w:lvl w:ilvl="8">
      <w:start w:val="1"/>
      <w:numFmt w:val="decimal"/>
      <w:lvlText w:val="%1"/>
      <w:lvlJc w:val="left"/>
      <w:pPr>
        <w:tabs>
          <w:tab w:val="num" w:pos="6120"/>
        </w:tabs>
        <w:ind w:left="4320" w:hanging="1440"/>
      </w:pPr>
      <w:rPr>
        <w:rFonts w:hint="default"/>
      </w:rPr>
    </w:lvl>
  </w:abstractNum>
  <w:abstractNum w:abstractNumId="8" w15:restartNumberingAfterBreak="0">
    <w:nsid w:val="3FF6050F"/>
    <w:multiLevelType w:val="multilevel"/>
    <w:tmpl w:val="5EB81EE2"/>
    <w:lvl w:ilvl="0">
      <w:start w:val="1"/>
      <w:numFmt w:val="none"/>
      <w:pStyle w:val="Definitions"/>
      <w:suff w:val="nothing"/>
      <w:lvlText w:val=""/>
      <w:lvlJc w:val="left"/>
      <w:pPr>
        <w:ind w:left="1418" w:hanging="709"/>
      </w:pPr>
      <w:rPr>
        <w:rFonts w:hint="default"/>
      </w:rPr>
    </w:lvl>
    <w:lvl w:ilvl="1">
      <w:start w:val="1"/>
      <w:numFmt w:val="lowerLetter"/>
      <w:pStyle w:val="Definitionsa"/>
      <w:lvlText w:val="(%2)"/>
      <w:lvlJc w:val="left"/>
      <w:pPr>
        <w:tabs>
          <w:tab w:val="num" w:pos="1418"/>
        </w:tabs>
        <w:ind w:left="1418" w:hanging="709"/>
      </w:pPr>
      <w:rPr>
        <w:rFonts w:hint="default"/>
      </w:rPr>
    </w:lvl>
    <w:lvl w:ilvl="2">
      <w:start w:val="1"/>
      <w:numFmt w:val="lowerRoman"/>
      <w:pStyle w:val="Definitionsi"/>
      <w:lvlText w:val="(%3)"/>
      <w:lvlJc w:val="left"/>
      <w:pPr>
        <w:tabs>
          <w:tab w:val="num" w:pos="2126"/>
        </w:tabs>
        <w:ind w:left="2126" w:hanging="708"/>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9" w15:restartNumberingAfterBreak="0">
    <w:nsid w:val="4EB40ABD"/>
    <w:multiLevelType w:val="singleLevel"/>
    <w:tmpl w:val="08449B14"/>
    <w:lvl w:ilvl="0">
      <w:start w:val="1"/>
      <w:numFmt w:val="bullet"/>
      <w:pStyle w:val="Bullet3"/>
      <w:lvlText w:val="•"/>
      <w:lvlJc w:val="left"/>
      <w:pPr>
        <w:tabs>
          <w:tab w:val="num" w:pos="2126"/>
        </w:tabs>
        <w:ind w:left="2126" w:hanging="708"/>
      </w:pPr>
      <w:rPr>
        <w:rFonts w:ascii="Garamond" w:hAnsi="Garamond" w:hint="default"/>
        <w:b w:val="0"/>
        <w:i w:val="0"/>
        <w:sz w:val="20"/>
        <w:szCs w:val="20"/>
      </w:rPr>
    </w:lvl>
  </w:abstractNum>
  <w:abstractNum w:abstractNumId="10" w15:restartNumberingAfterBreak="0">
    <w:nsid w:val="5D80475D"/>
    <w:multiLevelType w:val="hybridMultilevel"/>
    <w:tmpl w:val="9796F5D0"/>
    <w:lvl w:ilvl="0" w:tplc="14206B9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67B13928"/>
    <w:multiLevelType w:val="multilevel"/>
    <w:tmpl w:val="D13A43C2"/>
    <w:lvl w:ilvl="0">
      <w:start w:val="1"/>
      <w:numFmt w:val="decimal"/>
      <w:pStyle w:val="GNHeading"/>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709"/>
        </w:tabs>
        <w:ind w:left="709" w:hanging="709"/>
      </w:pPr>
      <w:rPr>
        <w:rFonts w:hint="default"/>
      </w:rPr>
    </w:lvl>
    <w:lvl w:ilvl="4">
      <w:start w:val="1"/>
      <w:numFmt w:val="lowerRoman"/>
      <w:lvlText w:val="(%5)"/>
      <w:lvlJc w:val="left"/>
      <w:pPr>
        <w:tabs>
          <w:tab w:val="num" w:pos="2126"/>
        </w:tabs>
        <w:ind w:left="2126" w:hanging="708"/>
      </w:pPr>
      <w:rPr>
        <w:rFonts w:hint="default"/>
      </w:rPr>
    </w:lvl>
    <w:lvl w:ilvl="5">
      <w:start w:val="1"/>
      <w:numFmt w:val="decimal"/>
      <w:lvlText w:val="(%6)"/>
      <w:lvlJc w:val="left"/>
      <w:pPr>
        <w:tabs>
          <w:tab w:val="num" w:pos="2835"/>
        </w:tabs>
        <w:ind w:left="2835" w:hanging="709"/>
      </w:pPr>
      <w:rPr>
        <w:rFonts w:hint="default"/>
      </w:rPr>
    </w:lvl>
    <w:lvl w:ilvl="6">
      <w:start w:val="1"/>
      <w:numFmt w:val="none"/>
      <w:lvlText w:val=""/>
      <w:lvlJc w:val="left"/>
      <w:pPr>
        <w:tabs>
          <w:tab w:val="num" w:pos="3402"/>
        </w:tabs>
        <w:ind w:left="3402" w:hanging="567"/>
      </w:pPr>
      <w:rPr>
        <w:rFonts w:hint="default"/>
      </w:rPr>
    </w:lvl>
    <w:lvl w:ilvl="7">
      <w:start w:val="1"/>
      <w:numFmt w:val="none"/>
      <w:lvlText w:val=""/>
      <w:lvlJc w:val="left"/>
      <w:pPr>
        <w:tabs>
          <w:tab w:val="num" w:pos="3402"/>
        </w:tabs>
        <w:ind w:left="3402" w:hanging="567"/>
      </w:pPr>
      <w:rPr>
        <w:rFonts w:hint="default"/>
      </w:rPr>
    </w:lvl>
    <w:lvl w:ilvl="8">
      <w:start w:val="1"/>
      <w:numFmt w:val="none"/>
      <w:lvlText w:val=""/>
      <w:lvlJc w:val="left"/>
      <w:pPr>
        <w:tabs>
          <w:tab w:val="num" w:pos="3402"/>
        </w:tabs>
        <w:ind w:left="3402" w:hanging="567"/>
      </w:pPr>
      <w:rPr>
        <w:rFonts w:hint="default"/>
      </w:rPr>
    </w:lvl>
  </w:abstractNum>
  <w:abstractNum w:abstractNumId="12" w15:restartNumberingAfterBreak="0">
    <w:nsid w:val="6AD24AAA"/>
    <w:multiLevelType w:val="singleLevel"/>
    <w:tmpl w:val="D6DE9F28"/>
    <w:lvl w:ilvl="0">
      <w:start w:val="1"/>
      <w:numFmt w:val="bullet"/>
      <w:pStyle w:val="GNBullet"/>
      <w:lvlText w:val="•"/>
      <w:lvlJc w:val="left"/>
      <w:pPr>
        <w:tabs>
          <w:tab w:val="num" w:pos="709"/>
        </w:tabs>
        <w:ind w:left="709" w:hanging="709"/>
      </w:pPr>
      <w:rPr>
        <w:rFonts w:ascii="Garamond" w:hAnsi="Garamond" w:hint="default"/>
        <w:b w:val="0"/>
        <w:i w:val="0"/>
        <w:vanish/>
        <w:sz w:val="24"/>
      </w:rPr>
    </w:lvl>
  </w:abstractNum>
  <w:abstractNum w:abstractNumId="13" w15:restartNumberingAfterBreak="0">
    <w:nsid w:val="6D8A2796"/>
    <w:multiLevelType w:val="hybridMultilevel"/>
    <w:tmpl w:val="0A142520"/>
    <w:lvl w:ilvl="0" w:tplc="1340E0AE">
      <w:start w:val="1"/>
      <w:numFmt w:val="upperLetter"/>
      <w:lvlText w:val="%1."/>
      <w:lvlJc w:val="left"/>
      <w:pPr>
        <w:ind w:left="1778" w:hanging="36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15:restartNumberingAfterBreak="0">
    <w:nsid w:val="70A8249E"/>
    <w:multiLevelType w:val="singleLevel"/>
    <w:tmpl w:val="481A5C1A"/>
    <w:lvl w:ilvl="0">
      <w:start w:val="1"/>
      <w:numFmt w:val="bullet"/>
      <w:pStyle w:val="Bullet1"/>
      <w:lvlText w:val="•"/>
      <w:lvlJc w:val="left"/>
      <w:pPr>
        <w:tabs>
          <w:tab w:val="num" w:pos="709"/>
        </w:tabs>
        <w:ind w:left="709" w:hanging="709"/>
      </w:pPr>
      <w:rPr>
        <w:rFonts w:ascii="Garamond" w:hAnsi="Garamond" w:hint="default"/>
        <w:b w:val="0"/>
        <w:i w:val="0"/>
        <w:sz w:val="24"/>
      </w:rPr>
    </w:lvl>
  </w:abstractNum>
  <w:num w:numId="1">
    <w:abstractNumId w:val="6"/>
  </w:num>
  <w:num w:numId="2">
    <w:abstractNumId w:val="14"/>
  </w:num>
  <w:num w:numId="3">
    <w:abstractNumId w:val="5"/>
  </w:num>
  <w:num w:numId="4">
    <w:abstractNumId w:val="9"/>
  </w:num>
  <w:num w:numId="5">
    <w:abstractNumId w:val="8"/>
  </w:num>
  <w:num w:numId="6">
    <w:abstractNumId w:val="12"/>
  </w:num>
  <w:num w:numId="7">
    <w:abstractNumId w:val="11"/>
  </w:num>
  <w:num w:numId="8">
    <w:abstractNumId w:val="4"/>
  </w:num>
  <w:num w:numId="9">
    <w:abstractNumId w:val="1"/>
  </w:num>
  <w:num w:numId="10">
    <w:abstractNumId w:val="7"/>
  </w:num>
  <w:num w:numId="11">
    <w:abstractNumId w:val="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4">
    <w:abstractNumId w:val="3"/>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9"/>
  </w:num>
  <w:num w:numId="20">
    <w:abstractNumId w:val="9"/>
  </w:num>
  <w:num w:numId="21">
    <w:abstractNumId w:val="14"/>
  </w:num>
  <w:num w:numId="22">
    <w:abstractNumId w:val="5"/>
  </w:num>
  <w:num w:numId="23">
    <w:abstractNumId w:val="13"/>
  </w:num>
  <w:num w:numId="24">
    <w:abstractNumId w:val="10"/>
  </w:num>
  <w:num w:numId="2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06B"/>
    <w:rsid w:val="000042EC"/>
    <w:rsid w:val="000062E1"/>
    <w:rsid w:val="00021297"/>
    <w:rsid w:val="00040091"/>
    <w:rsid w:val="000665CF"/>
    <w:rsid w:val="00076537"/>
    <w:rsid w:val="00082D40"/>
    <w:rsid w:val="00087F71"/>
    <w:rsid w:val="00092F5E"/>
    <w:rsid w:val="0009598C"/>
    <w:rsid w:val="0009600A"/>
    <w:rsid w:val="000A5715"/>
    <w:rsid w:val="000A6B19"/>
    <w:rsid w:val="000B22A4"/>
    <w:rsid w:val="000B7865"/>
    <w:rsid w:val="000C01D3"/>
    <w:rsid w:val="000C3205"/>
    <w:rsid w:val="000C41B8"/>
    <w:rsid w:val="000D4FA5"/>
    <w:rsid w:val="000D6B6E"/>
    <w:rsid w:val="000E3D79"/>
    <w:rsid w:val="000E5800"/>
    <w:rsid w:val="000E666A"/>
    <w:rsid w:val="000F5ABF"/>
    <w:rsid w:val="001127CA"/>
    <w:rsid w:val="001137F1"/>
    <w:rsid w:val="00113B90"/>
    <w:rsid w:val="001178CE"/>
    <w:rsid w:val="00137EFF"/>
    <w:rsid w:val="0014737B"/>
    <w:rsid w:val="00153D8E"/>
    <w:rsid w:val="001636E1"/>
    <w:rsid w:val="00164740"/>
    <w:rsid w:val="00166034"/>
    <w:rsid w:val="00166A84"/>
    <w:rsid w:val="001704C3"/>
    <w:rsid w:val="001752A4"/>
    <w:rsid w:val="00177D0E"/>
    <w:rsid w:val="00183327"/>
    <w:rsid w:val="00196729"/>
    <w:rsid w:val="001A199D"/>
    <w:rsid w:val="001A2BED"/>
    <w:rsid w:val="001A5D26"/>
    <w:rsid w:val="001B2E78"/>
    <w:rsid w:val="001B390E"/>
    <w:rsid w:val="001C7482"/>
    <w:rsid w:val="001D1D3F"/>
    <w:rsid w:val="001D27A2"/>
    <w:rsid w:val="001D3A9F"/>
    <w:rsid w:val="001D69F6"/>
    <w:rsid w:val="001F02A7"/>
    <w:rsid w:val="00200C3A"/>
    <w:rsid w:val="002028B0"/>
    <w:rsid w:val="00212E62"/>
    <w:rsid w:val="00213BB2"/>
    <w:rsid w:val="0021470B"/>
    <w:rsid w:val="0021718F"/>
    <w:rsid w:val="00227CD7"/>
    <w:rsid w:val="00233EFD"/>
    <w:rsid w:val="00251296"/>
    <w:rsid w:val="00253D5B"/>
    <w:rsid w:val="0027086D"/>
    <w:rsid w:val="00274D82"/>
    <w:rsid w:val="002773CB"/>
    <w:rsid w:val="00285AB0"/>
    <w:rsid w:val="0029512A"/>
    <w:rsid w:val="002A708A"/>
    <w:rsid w:val="002B605B"/>
    <w:rsid w:val="002C035B"/>
    <w:rsid w:val="002C73DB"/>
    <w:rsid w:val="002C7615"/>
    <w:rsid w:val="002C7E01"/>
    <w:rsid w:val="002D47F2"/>
    <w:rsid w:val="002D5349"/>
    <w:rsid w:val="002E0A29"/>
    <w:rsid w:val="002E2E96"/>
    <w:rsid w:val="002F2EEB"/>
    <w:rsid w:val="002F3169"/>
    <w:rsid w:val="002F4302"/>
    <w:rsid w:val="003011B8"/>
    <w:rsid w:val="00304B3F"/>
    <w:rsid w:val="00307D2C"/>
    <w:rsid w:val="00322BFF"/>
    <w:rsid w:val="00343EB3"/>
    <w:rsid w:val="003565E4"/>
    <w:rsid w:val="00366241"/>
    <w:rsid w:val="00366B55"/>
    <w:rsid w:val="00370540"/>
    <w:rsid w:val="00381449"/>
    <w:rsid w:val="00381873"/>
    <w:rsid w:val="00387BD3"/>
    <w:rsid w:val="0039323D"/>
    <w:rsid w:val="003958A0"/>
    <w:rsid w:val="003970C8"/>
    <w:rsid w:val="003A15FD"/>
    <w:rsid w:val="003A74A8"/>
    <w:rsid w:val="003B01EF"/>
    <w:rsid w:val="003D1537"/>
    <w:rsid w:val="003D72A3"/>
    <w:rsid w:val="003E0050"/>
    <w:rsid w:val="003E2348"/>
    <w:rsid w:val="003E6958"/>
    <w:rsid w:val="003F1099"/>
    <w:rsid w:val="003F720F"/>
    <w:rsid w:val="00410343"/>
    <w:rsid w:val="00413AA6"/>
    <w:rsid w:val="00427B9B"/>
    <w:rsid w:val="00435C34"/>
    <w:rsid w:val="0045070A"/>
    <w:rsid w:val="0046482A"/>
    <w:rsid w:val="004651CD"/>
    <w:rsid w:val="00474B52"/>
    <w:rsid w:val="0047706B"/>
    <w:rsid w:val="00482154"/>
    <w:rsid w:val="0048308F"/>
    <w:rsid w:val="00495F50"/>
    <w:rsid w:val="004B2D98"/>
    <w:rsid w:val="004B34DF"/>
    <w:rsid w:val="004B4BFC"/>
    <w:rsid w:val="004B6CF4"/>
    <w:rsid w:val="004B7D65"/>
    <w:rsid w:val="004E1B9F"/>
    <w:rsid w:val="004E6FB3"/>
    <w:rsid w:val="004F1551"/>
    <w:rsid w:val="004F3853"/>
    <w:rsid w:val="004F69B8"/>
    <w:rsid w:val="0050537A"/>
    <w:rsid w:val="005100FF"/>
    <w:rsid w:val="00515B2F"/>
    <w:rsid w:val="005231BC"/>
    <w:rsid w:val="00531B6F"/>
    <w:rsid w:val="00533333"/>
    <w:rsid w:val="00545810"/>
    <w:rsid w:val="0055602F"/>
    <w:rsid w:val="00556360"/>
    <w:rsid w:val="005618E7"/>
    <w:rsid w:val="00567316"/>
    <w:rsid w:val="00570A76"/>
    <w:rsid w:val="00572DE8"/>
    <w:rsid w:val="0058424F"/>
    <w:rsid w:val="00587740"/>
    <w:rsid w:val="0059192D"/>
    <w:rsid w:val="00592505"/>
    <w:rsid w:val="00593B55"/>
    <w:rsid w:val="005A1A2E"/>
    <w:rsid w:val="005A1B29"/>
    <w:rsid w:val="005A414A"/>
    <w:rsid w:val="005B7AED"/>
    <w:rsid w:val="005C224E"/>
    <w:rsid w:val="005C5A53"/>
    <w:rsid w:val="005D00B7"/>
    <w:rsid w:val="005D2B95"/>
    <w:rsid w:val="005D57CB"/>
    <w:rsid w:val="005D6A03"/>
    <w:rsid w:val="005E4649"/>
    <w:rsid w:val="005F10CE"/>
    <w:rsid w:val="005F2DE0"/>
    <w:rsid w:val="005F4174"/>
    <w:rsid w:val="00606116"/>
    <w:rsid w:val="006169DA"/>
    <w:rsid w:val="00617237"/>
    <w:rsid w:val="0061731D"/>
    <w:rsid w:val="00617B70"/>
    <w:rsid w:val="00620C38"/>
    <w:rsid w:val="0062784B"/>
    <w:rsid w:val="00636301"/>
    <w:rsid w:val="0064230A"/>
    <w:rsid w:val="00643CBD"/>
    <w:rsid w:val="006473C7"/>
    <w:rsid w:val="00655B29"/>
    <w:rsid w:val="006610E6"/>
    <w:rsid w:val="00664E08"/>
    <w:rsid w:val="0068005A"/>
    <w:rsid w:val="0068048E"/>
    <w:rsid w:val="00680F7E"/>
    <w:rsid w:val="0069167F"/>
    <w:rsid w:val="00697716"/>
    <w:rsid w:val="006977C4"/>
    <w:rsid w:val="006A313D"/>
    <w:rsid w:val="006A4263"/>
    <w:rsid w:val="006B25AC"/>
    <w:rsid w:val="006B6828"/>
    <w:rsid w:val="006D6EBA"/>
    <w:rsid w:val="006E35BB"/>
    <w:rsid w:val="006F3201"/>
    <w:rsid w:val="006F65D3"/>
    <w:rsid w:val="00700930"/>
    <w:rsid w:val="00704738"/>
    <w:rsid w:val="00707ED0"/>
    <w:rsid w:val="0071162D"/>
    <w:rsid w:val="007116A9"/>
    <w:rsid w:val="00715887"/>
    <w:rsid w:val="00715AB6"/>
    <w:rsid w:val="00716182"/>
    <w:rsid w:val="00726A23"/>
    <w:rsid w:val="00730CBE"/>
    <w:rsid w:val="007327ED"/>
    <w:rsid w:val="00734302"/>
    <w:rsid w:val="0073632E"/>
    <w:rsid w:val="0074057E"/>
    <w:rsid w:val="00743F31"/>
    <w:rsid w:val="007456B0"/>
    <w:rsid w:val="007510A0"/>
    <w:rsid w:val="00757B27"/>
    <w:rsid w:val="00760B24"/>
    <w:rsid w:val="00763DC3"/>
    <w:rsid w:val="00773805"/>
    <w:rsid w:val="007770EF"/>
    <w:rsid w:val="00777E35"/>
    <w:rsid w:val="00780AFF"/>
    <w:rsid w:val="007835F3"/>
    <w:rsid w:val="007A1DA0"/>
    <w:rsid w:val="007B0D88"/>
    <w:rsid w:val="007C6767"/>
    <w:rsid w:val="007D264D"/>
    <w:rsid w:val="007D38BB"/>
    <w:rsid w:val="007D4104"/>
    <w:rsid w:val="007F31AA"/>
    <w:rsid w:val="007F500D"/>
    <w:rsid w:val="007F547C"/>
    <w:rsid w:val="007F594A"/>
    <w:rsid w:val="007F79C9"/>
    <w:rsid w:val="00810B6C"/>
    <w:rsid w:val="008168BF"/>
    <w:rsid w:val="00817C18"/>
    <w:rsid w:val="00830D43"/>
    <w:rsid w:val="00833C6F"/>
    <w:rsid w:val="00837213"/>
    <w:rsid w:val="00841D16"/>
    <w:rsid w:val="00843AB3"/>
    <w:rsid w:val="008462E6"/>
    <w:rsid w:val="00857055"/>
    <w:rsid w:val="00861359"/>
    <w:rsid w:val="008629A7"/>
    <w:rsid w:val="008665B8"/>
    <w:rsid w:val="008712E6"/>
    <w:rsid w:val="00875DDE"/>
    <w:rsid w:val="00876A1D"/>
    <w:rsid w:val="0087736F"/>
    <w:rsid w:val="0088450E"/>
    <w:rsid w:val="00884AA9"/>
    <w:rsid w:val="008873A3"/>
    <w:rsid w:val="00896F97"/>
    <w:rsid w:val="008A592F"/>
    <w:rsid w:val="008B0523"/>
    <w:rsid w:val="008B6553"/>
    <w:rsid w:val="008C587D"/>
    <w:rsid w:val="008E0AE1"/>
    <w:rsid w:val="008E5D32"/>
    <w:rsid w:val="008E7252"/>
    <w:rsid w:val="008F7D20"/>
    <w:rsid w:val="00904C95"/>
    <w:rsid w:val="0091349F"/>
    <w:rsid w:val="00920E73"/>
    <w:rsid w:val="009302FD"/>
    <w:rsid w:val="0093119A"/>
    <w:rsid w:val="0093282D"/>
    <w:rsid w:val="00935ED7"/>
    <w:rsid w:val="00940B74"/>
    <w:rsid w:val="009422F5"/>
    <w:rsid w:val="009503FF"/>
    <w:rsid w:val="009562EC"/>
    <w:rsid w:val="00957971"/>
    <w:rsid w:val="00961367"/>
    <w:rsid w:val="009621BA"/>
    <w:rsid w:val="00963BC3"/>
    <w:rsid w:val="009679FF"/>
    <w:rsid w:val="00975C5E"/>
    <w:rsid w:val="00980219"/>
    <w:rsid w:val="00981F3C"/>
    <w:rsid w:val="00987B73"/>
    <w:rsid w:val="009911A9"/>
    <w:rsid w:val="00997094"/>
    <w:rsid w:val="009B66B5"/>
    <w:rsid w:val="009C52DA"/>
    <w:rsid w:val="009D4C57"/>
    <w:rsid w:val="009D5FFA"/>
    <w:rsid w:val="009D69F3"/>
    <w:rsid w:val="00A06A0E"/>
    <w:rsid w:val="00A11222"/>
    <w:rsid w:val="00A128FE"/>
    <w:rsid w:val="00A23AC9"/>
    <w:rsid w:val="00A27571"/>
    <w:rsid w:val="00A32969"/>
    <w:rsid w:val="00A33054"/>
    <w:rsid w:val="00A36A69"/>
    <w:rsid w:val="00A375C9"/>
    <w:rsid w:val="00A412D8"/>
    <w:rsid w:val="00A4245D"/>
    <w:rsid w:val="00A462EA"/>
    <w:rsid w:val="00A46D0E"/>
    <w:rsid w:val="00A520E3"/>
    <w:rsid w:val="00A52BD3"/>
    <w:rsid w:val="00A52E5C"/>
    <w:rsid w:val="00A57238"/>
    <w:rsid w:val="00A62DD1"/>
    <w:rsid w:val="00A6507E"/>
    <w:rsid w:val="00A66598"/>
    <w:rsid w:val="00A76D25"/>
    <w:rsid w:val="00A76DF6"/>
    <w:rsid w:val="00A87695"/>
    <w:rsid w:val="00A904B9"/>
    <w:rsid w:val="00A921DA"/>
    <w:rsid w:val="00A955E2"/>
    <w:rsid w:val="00A95CCD"/>
    <w:rsid w:val="00AA7259"/>
    <w:rsid w:val="00AB1802"/>
    <w:rsid w:val="00AB4EBB"/>
    <w:rsid w:val="00AC3AC6"/>
    <w:rsid w:val="00AC4338"/>
    <w:rsid w:val="00AC5800"/>
    <w:rsid w:val="00AC724C"/>
    <w:rsid w:val="00AD1C33"/>
    <w:rsid w:val="00AD2168"/>
    <w:rsid w:val="00AD2925"/>
    <w:rsid w:val="00AD2EF8"/>
    <w:rsid w:val="00AD5FFE"/>
    <w:rsid w:val="00AE313C"/>
    <w:rsid w:val="00AF4782"/>
    <w:rsid w:val="00AF5F6C"/>
    <w:rsid w:val="00B02C74"/>
    <w:rsid w:val="00B051F4"/>
    <w:rsid w:val="00B11A62"/>
    <w:rsid w:val="00B137EC"/>
    <w:rsid w:val="00B13E16"/>
    <w:rsid w:val="00B14C59"/>
    <w:rsid w:val="00B259B3"/>
    <w:rsid w:val="00B61168"/>
    <w:rsid w:val="00B72008"/>
    <w:rsid w:val="00B72B93"/>
    <w:rsid w:val="00B82A97"/>
    <w:rsid w:val="00B84697"/>
    <w:rsid w:val="00B85BE6"/>
    <w:rsid w:val="00B8716E"/>
    <w:rsid w:val="00B96B39"/>
    <w:rsid w:val="00B972EF"/>
    <w:rsid w:val="00BB0B86"/>
    <w:rsid w:val="00BB4F7E"/>
    <w:rsid w:val="00BC2AC9"/>
    <w:rsid w:val="00BC42AC"/>
    <w:rsid w:val="00BC5639"/>
    <w:rsid w:val="00BD4346"/>
    <w:rsid w:val="00BD4E32"/>
    <w:rsid w:val="00BD50F8"/>
    <w:rsid w:val="00BD5FD6"/>
    <w:rsid w:val="00BE375E"/>
    <w:rsid w:val="00BE6CF3"/>
    <w:rsid w:val="00BF126F"/>
    <w:rsid w:val="00BF43D8"/>
    <w:rsid w:val="00C005C5"/>
    <w:rsid w:val="00C03DE1"/>
    <w:rsid w:val="00C057BA"/>
    <w:rsid w:val="00C069DF"/>
    <w:rsid w:val="00C35025"/>
    <w:rsid w:val="00C426AB"/>
    <w:rsid w:val="00C51028"/>
    <w:rsid w:val="00C53BBD"/>
    <w:rsid w:val="00C607A8"/>
    <w:rsid w:val="00C61196"/>
    <w:rsid w:val="00C67F22"/>
    <w:rsid w:val="00C778AC"/>
    <w:rsid w:val="00C8481E"/>
    <w:rsid w:val="00C8796E"/>
    <w:rsid w:val="00C93AA5"/>
    <w:rsid w:val="00CA1F42"/>
    <w:rsid w:val="00CB348E"/>
    <w:rsid w:val="00CB4058"/>
    <w:rsid w:val="00CD1F3E"/>
    <w:rsid w:val="00CE2093"/>
    <w:rsid w:val="00CE47E3"/>
    <w:rsid w:val="00CF051C"/>
    <w:rsid w:val="00CF4800"/>
    <w:rsid w:val="00CF7F03"/>
    <w:rsid w:val="00D040A2"/>
    <w:rsid w:val="00D176F0"/>
    <w:rsid w:val="00D300EC"/>
    <w:rsid w:val="00D30F2B"/>
    <w:rsid w:val="00D37D0D"/>
    <w:rsid w:val="00D4266E"/>
    <w:rsid w:val="00D45C50"/>
    <w:rsid w:val="00D54852"/>
    <w:rsid w:val="00D602D9"/>
    <w:rsid w:val="00D63E7F"/>
    <w:rsid w:val="00D6687B"/>
    <w:rsid w:val="00D66AA1"/>
    <w:rsid w:val="00D7547B"/>
    <w:rsid w:val="00D764E5"/>
    <w:rsid w:val="00D76FED"/>
    <w:rsid w:val="00D77917"/>
    <w:rsid w:val="00D82225"/>
    <w:rsid w:val="00D91BC0"/>
    <w:rsid w:val="00D94E3A"/>
    <w:rsid w:val="00D96232"/>
    <w:rsid w:val="00DA0370"/>
    <w:rsid w:val="00DA061F"/>
    <w:rsid w:val="00DA143C"/>
    <w:rsid w:val="00DA1A58"/>
    <w:rsid w:val="00DA29DA"/>
    <w:rsid w:val="00DA6B3E"/>
    <w:rsid w:val="00DB047F"/>
    <w:rsid w:val="00DB1561"/>
    <w:rsid w:val="00DC0E74"/>
    <w:rsid w:val="00DC6329"/>
    <w:rsid w:val="00DC6725"/>
    <w:rsid w:val="00DD1411"/>
    <w:rsid w:val="00DE0C8E"/>
    <w:rsid w:val="00DE7C62"/>
    <w:rsid w:val="00E008D4"/>
    <w:rsid w:val="00E05EC7"/>
    <w:rsid w:val="00E06FDA"/>
    <w:rsid w:val="00E143D4"/>
    <w:rsid w:val="00E273DA"/>
    <w:rsid w:val="00E30E46"/>
    <w:rsid w:val="00E377C6"/>
    <w:rsid w:val="00E44313"/>
    <w:rsid w:val="00E44C01"/>
    <w:rsid w:val="00E60610"/>
    <w:rsid w:val="00E62171"/>
    <w:rsid w:val="00E67EA9"/>
    <w:rsid w:val="00E73CBC"/>
    <w:rsid w:val="00E75259"/>
    <w:rsid w:val="00E75B59"/>
    <w:rsid w:val="00E763BD"/>
    <w:rsid w:val="00E80E11"/>
    <w:rsid w:val="00E836FA"/>
    <w:rsid w:val="00E842E4"/>
    <w:rsid w:val="00E865ED"/>
    <w:rsid w:val="00E9394D"/>
    <w:rsid w:val="00E956B8"/>
    <w:rsid w:val="00E96068"/>
    <w:rsid w:val="00E97BAE"/>
    <w:rsid w:val="00EA398A"/>
    <w:rsid w:val="00EA4A68"/>
    <w:rsid w:val="00EB24DB"/>
    <w:rsid w:val="00EB28A2"/>
    <w:rsid w:val="00EB5474"/>
    <w:rsid w:val="00EC7117"/>
    <w:rsid w:val="00ED2ED1"/>
    <w:rsid w:val="00ED6FA2"/>
    <w:rsid w:val="00EE3894"/>
    <w:rsid w:val="00F01ED1"/>
    <w:rsid w:val="00F02FBC"/>
    <w:rsid w:val="00F156E5"/>
    <w:rsid w:val="00F22060"/>
    <w:rsid w:val="00F27870"/>
    <w:rsid w:val="00F35069"/>
    <w:rsid w:val="00F37349"/>
    <w:rsid w:val="00F4095C"/>
    <w:rsid w:val="00F462D2"/>
    <w:rsid w:val="00F54857"/>
    <w:rsid w:val="00F65315"/>
    <w:rsid w:val="00F7285C"/>
    <w:rsid w:val="00F732A5"/>
    <w:rsid w:val="00F8319F"/>
    <w:rsid w:val="00F91140"/>
    <w:rsid w:val="00F96D45"/>
    <w:rsid w:val="00FA0F5B"/>
    <w:rsid w:val="00FA4399"/>
    <w:rsid w:val="00FB206B"/>
    <w:rsid w:val="00FB312A"/>
    <w:rsid w:val="00FD1AD5"/>
    <w:rsid w:val="00FD4D4C"/>
    <w:rsid w:val="00FD7306"/>
    <w:rsid w:val="00FF1D9E"/>
    <w:rsid w:val="00FF388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AAB4BAB"/>
  <w15:docId w15:val="{D8BF7A6C-DEB6-474F-9236-CA3C46276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349"/>
    <w:pPr>
      <w:spacing w:before="100" w:after="0" w:line="288" w:lineRule="auto"/>
    </w:pPr>
    <w:rPr>
      <w:rFonts w:ascii="Arial" w:eastAsia="Times New Roman" w:hAnsi="Arial" w:cs="Times New Roman"/>
      <w:sz w:val="20"/>
      <w:szCs w:val="20"/>
      <w:lang w:eastAsia="en-AU"/>
    </w:rPr>
  </w:style>
  <w:style w:type="paragraph" w:styleId="Heading1">
    <w:name w:val="heading 1"/>
    <w:basedOn w:val="Normal"/>
    <w:next w:val="Normal"/>
    <w:link w:val="Heading1Char"/>
    <w:rsid w:val="00620C38"/>
    <w:pPr>
      <w:outlineLvl w:val="0"/>
    </w:pPr>
  </w:style>
  <w:style w:type="paragraph" w:styleId="Heading2">
    <w:name w:val="heading 2"/>
    <w:basedOn w:val="Normal"/>
    <w:next w:val="NormalIndent"/>
    <w:link w:val="Heading2Char"/>
    <w:semiHidden/>
    <w:rsid w:val="00620C38"/>
    <w:pPr>
      <w:outlineLvl w:val="1"/>
    </w:pPr>
  </w:style>
  <w:style w:type="paragraph" w:styleId="Heading3">
    <w:name w:val="heading 3"/>
    <w:basedOn w:val="Normal"/>
    <w:link w:val="Heading3Char"/>
    <w:semiHidden/>
    <w:rsid w:val="00620C38"/>
    <w:pPr>
      <w:outlineLvl w:val="2"/>
    </w:pPr>
  </w:style>
  <w:style w:type="paragraph" w:styleId="Heading4">
    <w:name w:val="heading 4"/>
    <w:basedOn w:val="Normal"/>
    <w:link w:val="Heading4Char"/>
    <w:semiHidden/>
    <w:rsid w:val="00620C38"/>
    <w:pPr>
      <w:outlineLvl w:val="3"/>
    </w:pPr>
  </w:style>
  <w:style w:type="paragraph" w:styleId="Heading5">
    <w:name w:val="heading 5"/>
    <w:basedOn w:val="Normal"/>
    <w:link w:val="Heading5Char"/>
    <w:semiHidden/>
    <w:rsid w:val="00620C38"/>
    <w:pPr>
      <w:outlineLvl w:val="4"/>
    </w:pPr>
  </w:style>
  <w:style w:type="paragraph" w:styleId="Heading6">
    <w:name w:val="heading 6"/>
    <w:basedOn w:val="Normal"/>
    <w:link w:val="Heading6Char"/>
    <w:semiHidden/>
    <w:rsid w:val="00620C38"/>
    <w:pPr>
      <w:outlineLvl w:val="5"/>
    </w:pPr>
  </w:style>
  <w:style w:type="paragraph" w:styleId="Heading7">
    <w:name w:val="heading 7"/>
    <w:basedOn w:val="Normal"/>
    <w:next w:val="Normal"/>
    <w:link w:val="Heading7Char"/>
    <w:semiHidden/>
    <w:rsid w:val="00620C38"/>
    <w:pPr>
      <w:outlineLvl w:val="6"/>
    </w:pPr>
  </w:style>
  <w:style w:type="paragraph" w:styleId="Heading8">
    <w:name w:val="heading 8"/>
    <w:basedOn w:val="Normal"/>
    <w:next w:val="Normal"/>
    <w:link w:val="Heading8Char"/>
    <w:semiHidden/>
    <w:rsid w:val="00620C38"/>
    <w:pPr>
      <w:outlineLvl w:val="7"/>
    </w:pPr>
  </w:style>
  <w:style w:type="paragraph" w:styleId="Heading9">
    <w:name w:val="heading 9"/>
    <w:basedOn w:val="Normal"/>
    <w:next w:val="Normal"/>
    <w:link w:val="Heading9Char"/>
    <w:semiHidden/>
    <w:rsid w:val="00620C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ensHeading1">
    <w:name w:val="Allens Heading 1"/>
    <w:basedOn w:val="Normal"/>
    <w:next w:val="AllensHeading2"/>
    <w:qFormat/>
    <w:rsid w:val="00620C38"/>
    <w:pPr>
      <w:keepNext/>
      <w:numPr>
        <w:numId w:val="1"/>
      </w:numPr>
      <w:spacing w:before="200"/>
      <w:outlineLvl w:val="0"/>
    </w:pPr>
    <w:rPr>
      <w:b/>
      <w:sz w:val="22"/>
    </w:rPr>
  </w:style>
  <w:style w:type="paragraph" w:customStyle="1" w:styleId="AllensHeading2">
    <w:name w:val="Allens Heading 2"/>
    <w:basedOn w:val="Normal"/>
    <w:next w:val="NormalIndent"/>
    <w:qFormat/>
    <w:rsid w:val="00620C38"/>
    <w:pPr>
      <w:keepNext/>
      <w:numPr>
        <w:ilvl w:val="1"/>
        <w:numId w:val="1"/>
      </w:numPr>
      <w:spacing w:before="160"/>
      <w:outlineLvl w:val="1"/>
    </w:pPr>
    <w:rPr>
      <w:b/>
      <w:sz w:val="21"/>
    </w:rPr>
  </w:style>
  <w:style w:type="paragraph" w:styleId="NormalIndent">
    <w:name w:val="Normal Indent"/>
    <w:basedOn w:val="Normal"/>
    <w:qFormat/>
    <w:rsid w:val="00620C38"/>
    <w:pPr>
      <w:ind w:left="709"/>
    </w:pPr>
  </w:style>
  <w:style w:type="paragraph" w:customStyle="1" w:styleId="AllensHeading3">
    <w:name w:val="Allens Heading 3"/>
    <w:basedOn w:val="Normal"/>
    <w:qFormat/>
    <w:rsid w:val="00620C38"/>
    <w:pPr>
      <w:numPr>
        <w:ilvl w:val="2"/>
        <w:numId w:val="1"/>
      </w:numPr>
    </w:pPr>
  </w:style>
  <w:style w:type="paragraph" w:customStyle="1" w:styleId="AllensHeading4">
    <w:name w:val="Allens Heading 4"/>
    <w:basedOn w:val="Normal"/>
    <w:qFormat/>
    <w:rsid w:val="00620C38"/>
    <w:pPr>
      <w:numPr>
        <w:ilvl w:val="3"/>
        <w:numId w:val="1"/>
      </w:numPr>
    </w:pPr>
  </w:style>
  <w:style w:type="paragraph" w:customStyle="1" w:styleId="AllensHeading5">
    <w:name w:val="Allens Heading 5"/>
    <w:basedOn w:val="Normal"/>
    <w:qFormat/>
    <w:rsid w:val="00620C38"/>
    <w:pPr>
      <w:numPr>
        <w:ilvl w:val="4"/>
        <w:numId w:val="1"/>
      </w:numPr>
    </w:pPr>
  </w:style>
  <w:style w:type="paragraph" w:customStyle="1" w:styleId="AllensHeading6">
    <w:name w:val="Allens Heading 6"/>
    <w:basedOn w:val="Normal"/>
    <w:qFormat/>
    <w:rsid w:val="00620C38"/>
    <w:pPr>
      <w:numPr>
        <w:ilvl w:val="5"/>
        <w:numId w:val="1"/>
      </w:numPr>
    </w:pPr>
  </w:style>
  <w:style w:type="character" w:customStyle="1" w:styleId="AuthorNote">
    <w:name w:val="Author Note"/>
    <w:aliases w:val="AN"/>
    <w:uiPriority w:val="1"/>
    <w:qFormat/>
    <w:rsid w:val="00620C38"/>
    <w:rPr>
      <w:rFonts w:ascii="Arial" w:hAnsi="Arial"/>
      <w:b/>
      <w:vanish/>
      <w:color w:val="0074BF"/>
      <w:sz w:val="20"/>
    </w:rPr>
  </w:style>
  <w:style w:type="paragraph" w:styleId="BalloonText">
    <w:name w:val="Balloon Text"/>
    <w:basedOn w:val="Normal"/>
    <w:link w:val="BalloonTextChar"/>
    <w:semiHidden/>
    <w:rsid w:val="00620C3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20C38"/>
    <w:rPr>
      <w:rFonts w:ascii="Tahoma" w:eastAsia="Times New Roman" w:hAnsi="Tahoma" w:cs="Tahoma"/>
      <w:sz w:val="16"/>
      <w:szCs w:val="16"/>
      <w:lang w:eastAsia="en-AU"/>
    </w:rPr>
  </w:style>
  <w:style w:type="paragraph" w:styleId="BodyText">
    <w:name w:val="Body Text"/>
    <w:basedOn w:val="Normal"/>
    <w:link w:val="BodyTextChar"/>
    <w:qFormat/>
    <w:rsid w:val="00620C38"/>
    <w:pPr>
      <w:spacing w:before="0" w:line="240" w:lineRule="auto"/>
    </w:pPr>
  </w:style>
  <w:style w:type="character" w:customStyle="1" w:styleId="BodyTextChar">
    <w:name w:val="Body Text Char"/>
    <w:basedOn w:val="DefaultParagraphFont"/>
    <w:link w:val="BodyText"/>
    <w:rsid w:val="00620C38"/>
    <w:rPr>
      <w:rFonts w:ascii="Arial" w:eastAsia="Times New Roman" w:hAnsi="Arial" w:cs="Times New Roman"/>
      <w:sz w:val="20"/>
      <w:szCs w:val="20"/>
      <w:lang w:eastAsia="en-AU"/>
    </w:rPr>
  </w:style>
  <w:style w:type="paragraph" w:styleId="BodyTextIndent">
    <w:name w:val="Body Text Indent"/>
    <w:basedOn w:val="BodyText"/>
    <w:link w:val="BodyTextIndentChar"/>
    <w:qFormat/>
    <w:rsid w:val="00620C38"/>
    <w:pPr>
      <w:ind w:left="709"/>
    </w:pPr>
  </w:style>
  <w:style w:type="character" w:customStyle="1" w:styleId="BodyTextIndentChar">
    <w:name w:val="Body Text Indent Char"/>
    <w:basedOn w:val="DefaultParagraphFont"/>
    <w:link w:val="BodyTextIndent"/>
    <w:rsid w:val="00620C38"/>
    <w:rPr>
      <w:rFonts w:ascii="Arial" w:eastAsia="Times New Roman" w:hAnsi="Arial" w:cs="Times New Roman"/>
      <w:sz w:val="20"/>
      <w:szCs w:val="20"/>
      <w:lang w:eastAsia="en-AU"/>
    </w:rPr>
  </w:style>
  <w:style w:type="paragraph" w:customStyle="1" w:styleId="Bullet1">
    <w:name w:val="Bullet 1"/>
    <w:basedOn w:val="Normal"/>
    <w:qFormat/>
    <w:rsid w:val="00620C38"/>
    <w:pPr>
      <w:numPr>
        <w:numId w:val="2"/>
      </w:numPr>
    </w:pPr>
  </w:style>
  <w:style w:type="paragraph" w:customStyle="1" w:styleId="Bullet2">
    <w:name w:val="Bullet 2"/>
    <w:basedOn w:val="Normal"/>
    <w:qFormat/>
    <w:rsid w:val="00620C38"/>
    <w:pPr>
      <w:numPr>
        <w:numId w:val="3"/>
      </w:numPr>
    </w:pPr>
  </w:style>
  <w:style w:type="paragraph" w:customStyle="1" w:styleId="Bullet3">
    <w:name w:val="Bullet 3"/>
    <w:basedOn w:val="Normal"/>
    <w:qFormat/>
    <w:rsid w:val="00620C38"/>
    <w:pPr>
      <w:numPr>
        <w:numId w:val="4"/>
      </w:numPr>
    </w:pPr>
  </w:style>
  <w:style w:type="paragraph" w:customStyle="1" w:styleId="ContentsHeading">
    <w:name w:val="Contents Heading"/>
    <w:basedOn w:val="Normal"/>
    <w:next w:val="Normal"/>
    <w:qFormat/>
    <w:rsid w:val="00620C38"/>
    <w:pPr>
      <w:spacing w:before="0"/>
    </w:pPr>
    <w:rPr>
      <w:b/>
      <w:sz w:val="22"/>
    </w:rPr>
  </w:style>
  <w:style w:type="paragraph" w:customStyle="1" w:styleId="Definitions">
    <w:name w:val="Definitions"/>
    <w:basedOn w:val="NormalIndent"/>
    <w:qFormat/>
    <w:rsid w:val="00620C38"/>
    <w:pPr>
      <w:numPr>
        <w:numId w:val="5"/>
      </w:numPr>
    </w:pPr>
  </w:style>
  <w:style w:type="paragraph" w:customStyle="1" w:styleId="Definitionsa">
    <w:name w:val="Definitions (a)"/>
    <w:basedOn w:val="Normal"/>
    <w:qFormat/>
    <w:rsid w:val="00620C38"/>
    <w:pPr>
      <w:numPr>
        <w:ilvl w:val="1"/>
        <w:numId w:val="5"/>
      </w:numPr>
    </w:pPr>
  </w:style>
  <w:style w:type="paragraph" w:customStyle="1" w:styleId="Definitionsi">
    <w:name w:val="Definitions (i)"/>
    <w:basedOn w:val="Normal"/>
    <w:qFormat/>
    <w:rsid w:val="00620C38"/>
    <w:pPr>
      <w:numPr>
        <w:ilvl w:val="2"/>
        <w:numId w:val="5"/>
      </w:numPr>
    </w:pPr>
  </w:style>
  <w:style w:type="paragraph" w:styleId="Footer">
    <w:name w:val="footer"/>
    <w:basedOn w:val="Normal"/>
    <w:link w:val="FooterChar"/>
    <w:qFormat/>
    <w:rsid w:val="00620C38"/>
    <w:pPr>
      <w:spacing w:before="40" w:line="240" w:lineRule="auto"/>
    </w:pPr>
    <w:rPr>
      <w:noProof/>
      <w:sz w:val="16"/>
    </w:rPr>
  </w:style>
  <w:style w:type="character" w:customStyle="1" w:styleId="FooterChar">
    <w:name w:val="Footer Char"/>
    <w:basedOn w:val="DefaultParagraphFont"/>
    <w:link w:val="Footer"/>
    <w:rsid w:val="00620C38"/>
    <w:rPr>
      <w:rFonts w:ascii="Arial" w:eastAsia="Times New Roman" w:hAnsi="Arial" w:cs="Times New Roman"/>
      <w:noProof/>
      <w:sz w:val="16"/>
      <w:szCs w:val="20"/>
      <w:lang w:eastAsia="en-AU"/>
    </w:rPr>
  </w:style>
  <w:style w:type="paragraph" w:styleId="FootnoteText">
    <w:name w:val="footnote text"/>
    <w:basedOn w:val="Normal"/>
    <w:link w:val="FootnoteTextChar"/>
    <w:semiHidden/>
    <w:rsid w:val="00620C38"/>
    <w:rPr>
      <w:sz w:val="16"/>
    </w:rPr>
  </w:style>
  <w:style w:type="character" w:customStyle="1" w:styleId="FootnoteTextChar">
    <w:name w:val="Footnote Text Char"/>
    <w:basedOn w:val="DefaultParagraphFont"/>
    <w:link w:val="FootnoteText"/>
    <w:semiHidden/>
    <w:rsid w:val="00620C38"/>
    <w:rPr>
      <w:rFonts w:ascii="Arial" w:eastAsia="Times New Roman" w:hAnsi="Arial" w:cs="Times New Roman"/>
      <w:sz w:val="16"/>
      <w:szCs w:val="20"/>
      <w:lang w:eastAsia="en-AU"/>
    </w:rPr>
  </w:style>
  <w:style w:type="paragraph" w:customStyle="1" w:styleId="GeneralHeading1">
    <w:name w:val="General Heading 1"/>
    <w:basedOn w:val="Normal"/>
    <w:next w:val="Normal"/>
    <w:qFormat/>
    <w:rsid w:val="00620C38"/>
    <w:pPr>
      <w:keepNext/>
      <w:spacing w:before="200"/>
    </w:pPr>
    <w:rPr>
      <w:b/>
      <w:sz w:val="22"/>
    </w:rPr>
  </w:style>
  <w:style w:type="paragraph" w:customStyle="1" w:styleId="GeneralHeading2">
    <w:name w:val="General Heading 2"/>
    <w:basedOn w:val="Normal"/>
    <w:next w:val="Normal"/>
    <w:qFormat/>
    <w:rsid w:val="00620C38"/>
    <w:pPr>
      <w:keepNext/>
      <w:spacing w:before="160"/>
    </w:pPr>
    <w:rPr>
      <w:b/>
      <w:sz w:val="21"/>
    </w:rPr>
  </w:style>
  <w:style w:type="paragraph" w:customStyle="1" w:styleId="GNBullet">
    <w:name w:val="GN Bullet"/>
    <w:basedOn w:val="Normal"/>
    <w:uiPriority w:val="1"/>
    <w:qFormat/>
    <w:rsid w:val="00620C38"/>
    <w:pPr>
      <w:numPr>
        <w:numId w:val="6"/>
      </w:numPr>
      <w:spacing w:line="240" w:lineRule="auto"/>
    </w:pPr>
    <w:rPr>
      <w:vanish/>
      <w:color w:val="000080"/>
    </w:rPr>
  </w:style>
  <w:style w:type="paragraph" w:customStyle="1" w:styleId="GNHeading">
    <w:name w:val="GN Heading"/>
    <w:basedOn w:val="Normal"/>
    <w:next w:val="GNNormalIndent"/>
    <w:uiPriority w:val="1"/>
    <w:qFormat/>
    <w:rsid w:val="00620C38"/>
    <w:pPr>
      <w:keepNext/>
      <w:numPr>
        <w:numId w:val="7"/>
      </w:numPr>
      <w:spacing w:before="200" w:line="240" w:lineRule="auto"/>
    </w:pPr>
    <w:rPr>
      <w:b/>
      <w:vanish/>
      <w:color w:val="000080"/>
    </w:rPr>
  </w:style>
  <w:style w:type="paragraph" w:customStyle="1" w:styleId="GNLevel1">
    <w:name w:val="GN Level 1"/>
    <w:basedOn w:val="Normal"/>
    <w:uiPriority w:val="1"/>
    <w:qFormat/>
    <w:rsid w:val="00620C38"/>
    <w:pPr>
      <w:numPr>
        <w:numId w:val="8"/>
      </w:numPr>
      <w:spacing w:line="240" w:lineRule="auto"/>
    </w:pPr>
    <w:rPr>
      <w:vanish/>
      <w:color w:val="000080"/>
    </w:rPr>
  </w:style>
  <w:style w:type="paragraph" w:customStyle="1" w:styleId="GNLevel2">
    <w:name w:val="GN Level 2"/>
    <w:basedOn w:val="Normal"/>
    <w:uiPriority w:val="1"/>
    <w:qFormat/>
    <w:rsid w:val="00620C38"/>
    <w:pPr>
      <w:numPr>
        <w:ilvl w:val="1"/>
        <w:numId w:val="8"/>
      </w:numPr>
      <w:spacing w:line="240" w:lineRule="auto"/>
    </w:pPr>
    <w:rPr>
      <w:vanish/>
      <w:color w:val="000080"/>
    </w:rPr>
  </w:style>
  <w:style w:type="paragraph" w:customStyle="1" w:styleId="GNLevel3">
    <w:name w:val="GN Level 3"/>
    <w:basedOn w:val="Normal"/>
    <w:uiPriority w:val="1"/>
    <w:qFormat/>
    <w:rsid w:val="00620C38"/>
    <w:pPr>
      <w:numPr>
        <w:ilvl w:val="2"/>
        <w:numId w:val="8"/>
      </w:numPr>
      <w:spacing w:line="240" w:lineRule="auto"/>
    </w:pPr>
    <w:rPr>
      <w:vanish/>
      <w:color w:val="000080"/>
    </w:rPr>
  </w:style>
  <w:style w:type="paragraph" w:customStyle="1" w:styleId="GNLevel4">
    <w:name w:val="GN Level 4"/>
    <w:basedOn w:val="Normal"/>
    <w:uiPriority w:val="1"/>
    <w:qFormat/>
    <w:rsid w:val="00620C38"/>
    <w:pPr>
      <w:numPr>
        <w:ilvl w:val="3"/>
        <w:numId w:val="8"/>
      </w:numPr>
      <w:spacing w:line="240" w:lineRule="auto"/>
    </w:pPr>
    <w:rPr>
      <w:vanish/>
      <w:color w:val="000080"/>
    </w:rPr>
  </w:style>
  <w:style w:type="paragraph" w:customStyle="1" w:styleId="GNNormal">
    <w:name w:val="GN Normal"/>
    <w:basedOn w:val="Normal"/>
    <w:uiPriority w:val="1"/>
    <w:qFormat/>
    <w:rsid w:val="00620C38"/>
    <w:pPr>
      <w:spacing w:line="240" w:lineRule="auto"/>
    </w:pPr>
    <w:rPr>
      <w:vanish/>
      <w:color w:val="000080"/>
    </w:rPr>
  </w:style>
  <w:style w:type="paragraph" w:customStyle="1" w:styleId="GNNormalIndent">
    <w:name w:val="GN Normal Indent"/>
    <w:basedOn w:val="GNNormal"/>
    <w:uiPriority w:val="1"/>
    <w:qFormat/>
    <w:rsid w:val="00620C38"/>
    <w:pPr>
      <w:ind w:left="709"/>
    </w:pPr>
  </w:style>
  <w:style w:type="paragraph" w:styleId="Header">
    <w:name w:val="header"/>
    <w:basedOn w:val="Normal"/>
    <w:link w:val="HeaderChar"/>
    <w:qFormat/>
    <w:rsid w:val="00620C38"/>
    <w:pPr>
      <w:spacing w:before="0" w:line="240" w:lineRule="auto"/>
    </w:pPr>
    <w:rPr>
      <w:noProof/>
      <w:sz w:val="16"/>
    </w:rPr>
  </w:style>
  <w:style w:type="character" w:customStyle="1" w:styleId="HeaderChar">
    <w:name w:val="Header Char"/>
    <w:basedOn w:val="DefaultParagraphFont"/>
    <w:link w:val="Header"/>
    <w:rsid w:val="00620C38"/>
    <w:rPr>
      <w:rFonts w:ascii="Arial" w:eastAsia="Times New Roman" w:hAnsi="Arial" w:cs="Times New Roman"/>
      <w:noProof/>
      <w:sz w:val="16"/>
      <w:szCs w:val="20"/>
      <w:lang w:eastAsia="en-AU"/>
    </w:rPr>
  </w:style>
  <w:style w:type="paragraph" w:customStyle="1" w:styleId="HeaderTitle">
    <w:name w:val="Header Title"/>
    <w:basedOn w:val="Normal"/>
    <w:qFormat/>
    <w:rsid w:val="00620C38"/>
    <w:pPr>
      <w:spacing w:line="240" w:lineRule="auto"/>
    </w:pPr>
    <w:rPr>
      <w:noProof/>
    </w:rPr>
  </w:style>
  <w:style w:type="character" w:customStyle="1" w:styleId="Heading1Char">
    <w:name w:val="Heading 1 Char"/>
    <w:basedOn w:val="DefaultParagraphFont"/>
    <w:link w:val="Heading1"/>
    <w:rsid w:val="00620C38"/>
    <w:rPr>
      <w:rFonts w:ascii="Arial" w:eastAsia="Times New Roman" w:hAnsi="Arial" w:cs="Times New Roman"/>
      <w:sz w:val="20"/>
      <w:szCs w:val="20"/>
      <w:lang w:eastAsia="en-AU"/>
    </w:rPr>
  </w:style>
  <w:style w:type="character" w:customStyle="1" w:styleId="Heading2Char">
    <w:name w:val="Heading 2 Char"/>
    <w:basedOn w:val="DefaultParagraphFont"/>
    <w:link w:val="Heading2"/>
    <w:semiHidden/>
    <w:rsid w:val="00620C38"/>
    <w:rPr>
      <w:rFonts w:ascii="Arial" w:eastAsia="Times New Roman" w:hAnsi="Arial" w:cs="Times New Roman"/>
      <w:sz w:val="20"/>
      <w:szCs w:val="20"/>
      <w:lang w:eastAsia="en-AU"/>
    </w:rPr>
  </w:style>
  <w:style w:type="character" w:customStyle="1" w:styleId="Heading3Char">
    <w:name w:val="Heading 3 Char"/>
    <w:basedOn w:val="DefaultParagraphFont"/>
    <w:link w:val="Heading3"/>
    <w:semiHidden/>
    <w:rsid w:val="00620C38"/>
    <w:rPr>
      <w:rFonts w:ascii="Arial" w:eastAsia="Times New Roman" w:hAnsi="Arial" w:cs="Times New Roman"/>
      <w:sz w:val="20"/>
      <w:szCs w:val="20"/>
      <w:lang w:eastAsia="en-AU"/>
    </w:rPr>
  </w:style>
  <w:style w:type="character" w:customStyle="1" w:styleId="Heading4Char">
    <w:name w:val="Heading 4 Char"/>
    <w:basedOn w:val="DefaultParagraphFont"/>
    <w:link w:val="Heading4"/>
    <w:semiHidden/>
    <w:rsid w:val="00620C38"/>
    <w:rPr>
      <w:rFonts w:ascii="Arial" w:eastAsia="Times New Roman" w:hAnsi="Arial" w:cs="Times New Roman"/>
      <w:sz w:val="20"/>
      <w:szCs w:val="20"/>
      <w:lang w:eastAsia="en-AU"/>
    </w:rPr>
  </w:style>
  <w:style w:type="character" w:customStyle="1" w:styleId="Heading5Char">
    <w:name w:val="Heading 5 Char"/>
    <w:basedOn w:val="DefaultParagraphFont"/>
    <w:link w:val="Heading5"/>
    <w:semiHidden/>
    <w:rsid w:val="00620C38"/>
    <w:rPr>
      <w:rFonts w:ascii="Arial" w:eastAsia="Times New Roman" w:hAnsi="Arial" w:cs="Times New Roman"/>
      <w:sz w:val="20"/>
      <w:szCs w:val="20"/>
      <w:lang w:eastAsia="en-AU"/>
    </w:rPr>
  </w:style>
  <w:style w:type="character" w:customStyle="1" w:styleId="Heading6Char">
    <w:name w:val="Heading 6 Char"/>
    <w:basedOn w:val="DefaultParagraphFont"/>
    <w:link w:val="Heading6"/>
    <w:semiHidden/>
    <w:rsid w:val="00620C38"/>
    <w:rPr>
      <w:rFonts w:ascii="Arial" w:eastAsia="Times New Roman" w:hAnsi="Arial" w:cs="Times New Roman"/>
      <w:sz w:val="20"/>
      <w:szCs w:val="20"/>
      <w:lang w:eastAsia="en-AU"/>
    </w:rPr>
  </w:style>
  <w:style w:type="character" w:customStyle="1" w:styleId="Heading7Char">
    <w:name w:val="Heading 7 Char"/>
    <w:basedOn w:val="DefaultParagraphFont"/>
    <w:link w:val="Heading7"/>
    <w:semiHidden/>
    <w:rsid w:val="00620C38"/>
    <w:rPr>
      <w:rFonts w:ascii="Arial" w:eastAsia="Times New Roman" w:hAnsi="Arial" w:cs="Times New Roman"/>
      <w:sz w:val="20"/>
      <w:szCs w:val="20"/>
      <w:lang w:eastAsia="en-AU"/>
    </w:rPr>
  </w:style>
  <w:style w:type="character" w:customStyle="1" w:styleId="Heading8Char">
    <w:name w:val="Heading 8 Char"/>
    <w:basedOn w:val="DefaultParagraphFont"/>
    <w:link w:val="Heading8"/>
    <w:semiHidden/>
    <w:rsid w:val="00620C38"/>
    <w:rPr>
      <w:rFonts w:ascii="Arial" w:eastAsia="Times New Roman" w:hAnsi="Arial" w:cs="Times New Roman"/>
      <w:sz w:val="20"/>
      <w:szCs w:val="20"/>
      <w:lang w:eastAsia="en-AU"/>
    </w:rPr>
  </w:style>
  <w:style w:type="character" w:customStyle="1" w:styleId="Heading9Char">
    <w:name w:val="Heading 9 Char"/>
    <w:basedOn w:val="DefaultParagraphFont"/>
    <w:link w:val="Heading9"/>
    <w:semiHidden/>
    <w:rsid w:val="00620C38"/>
    <w:rPr>
      <w:rFonts w:ascii="Arial" w:eastAsia="Times New Roman" w:hAnsi="Arial" w:cs="Times New Roman"/>
      <w:sz w:val="20"/>
      <w:szCs w:val="20"/>
      <w:lang w:eastAsia="en-AU"/>
    </w:rPr>
  </w:style>
  <w:style w:type="character" w:styleId="Hyperlink">
    <w:name w:val="Hyperlink"/>
    <w:uiPriority w:val="99"/>
    <w:rsid w:val="00F37349"/>
    <w:rPr>
      <w:color w:val="0000FF"/>
      <w:u w:val="single"/>
    </w:rPr>
  </w:style>
  <w:style w:type="paragraph" w:customStyle="1" w:styleId="level1">
    <w:name w:val="level1"/>
    <w:basedOn w:val="Normal"/>
    <w:qFormat/>
    <w:rsid w:val="00620C38"/>
    <w:pPr>
      <w:numPr>
        <w:numId w:val="9"/>
      </w:numPr>
    </w:pPr>
  </w:style>
  <w:style w:type="paragraph" w:customStyle="1" w:styleId="level2">
    <w:name w:val="level2"/>
    <w:basedOn w:val="Normal"/>
    <w:qFormat/>
    <w:rsid w:val="00620C38"/>
    <w:pPr>
      <w:numPr>
        <w:ilvl w:val="1"/>
        <w:numId w:val="9"/>
      </w:numPr>
    </w:pPr>
  </w:style>
  <w:style w:type="paragraph" w:customStyle="1" w:styleId="level3">
    <w:name w:val="level3"/>
    <w:basedOn w:val="Normal"/>
    <w:qFormat/>
    <w:rsid w:val="00620C38"/>
    <w:pPr>
      <w:numPr>
        <w:ilvl w:val="2"/>
        <w:numId w:val="9"/>
      </w:numPr>
    </w:pPr>
  </w:style>
  <w:style w:type="paragraph" w:customStyle="1" w:styleId="level4">
    <w:name w:val="level4"/>
    <w:basedOn w:val="Normal"/>
    <w:qFormat/>
    <w:rsid w:val="00620C38"/>
    <w:pPr>
      <w:numPr>
        <w:ilvl w:val="3"/>
        <w:numId w:val="9"/>
      </w:numPr>
    </w:pPr>
  </w:style>
  <w:style w:type="paragraph" w:customStyle="1" w:styleId="level5">
    <w:name w:val="level5"/>
    <w:basedOn w:val="Normal"/>
    <w:qFormat/>
    <w:rsid w:val="00620C38"/>
    <w:pPr>
      <w:numPr>
        <w:ilvl w:val="4"/>
        <w:numId w:val="9"/>
      </w:numPr>
    </w:pPr>
  </w:style>
  <w:style w:type="paragraph" w:customStyle="1" w:styleId="level6">
    <w:name w:val="level6"/>
    <w:basedOn w:val="Normal"/>
    <w:qFormat/>
    <w:rsid w:val="00620C38"/>
    <w:pPr>
      <w:numPr>
        <w:ilvl w:val="5"/>
        <w:numId w:val="9"/>
      </w:numPr>
    </w:pPr>
  </w:style>
  <w:style w:type="character" w:styleId="PageNumber">
    <w:name w:val="page number"/>
    <w:semiHidden/>
    <w:qFormat/>
    <w:rsid w:val="00620C38"/>
    <w:rPr>
      <w:sz w:val="16"/>
    </w:rPr>
  </w:style>
  <w:style w:type="paragraph" w:customStyle="1" w:styleId="Schedule">
    <w:name w:val="Schedule"/>
    <w:basedOn w:val="Normal"/>
    <w:next w:val="ScheduleHeading"/>
    <w:qFormat/>
    <w:rsid w:val="00620C38"/>
    <w:pPr>
      <w:keepNext/>
      <w:numPr>
        <w:numId w:val="10"/>
      </w:numPr>
      <w:spacing w:before="200"/>
      <w:outlineLvl w:val="0"/>
    </w:pPr>
    <w:rPr>
      <w:b/>
      <w:sz w:val="22"/>
    </w:rPr>
  </w:style>
  <w:style w:type="paragraph" w:customStyle="1" w:styleId="Schedule1">
    <w:name w:val="Schedule 1"/>
    <w:basedOn w:val="Normal"/>
    <w:next w:val="Schedule2"/>
    <w:qFormat/>
    <w:rsid w:val="00620C38"/>
    <w:pPr>
      <w:keepNext/>
      <w:numPr>
        <w:ilvl w:val="2"/>
        <w:numId w:val="10"/>
      </w:numPr>
      <w:spacing w:before="200"/>
    </w:pPr>
    <w:rPr>
      <w:b/>
      <w:sz w:val="22"/>
    </w:rPr>
  </w:style>
  <w:style w:type="paragraph" w:customStyle="1" w:styleId="Schedule2">
    <w:name w:val="Schedule 2"/>
    <w:basedOn w:val="Normal"/>
    <w:next w:val="NormalIndent"/>
    <w:qFormat/>
    <w:rsid w:val="00620C38"/>
    <w:pPr>
      <w:keepNext/>
      <w:numPr>
        <w:ilvl w:val="3"/>
        <w:numId w:val="10"/>
      </w:numPr>
      <w:spacing w:before="160"/>
    </w:pPr>
    <w:rPr>
      <w:b/>
      <w:sz w:val="21"/>
    </w:rPr>
  </w:style>
  <w:style w:type="paragraph" w:customStyle="1" w:styleId="Schedule3">
    <w:name w:val="Schedule 3"/>
    <w:basedOn w:val="Normal"/>
    <w:qFormat/>
    <w:rsid w:val="00620C38"/>
    <w:pPr>
      <w:numPr>
        <w:ilvl w:val="4"/>
        <w:numId w:val="10"/>
      </w:numPr>
    </w:pPr>
  </w:style>
  <w:style w:type="paragraph" w:customStyle="1" w:styleId="Schedule4">
    <w:name w:val="Schedule 4"/>
    <w:basedOn w:val="Normal"/>
    <w:qFormat/>
    <w:rsid w:val="00620C38"/>
    <w:pPr>
      <w:numPr>
        <w:ilvl w:val="5"/>
        <w:numId w:val="10"/>
      </w:numPr>
    </w:pPr>
  </w:style>
  <w:style w:type="paragraph" w:customStyle="1" w:styleId="Schedule5">
    <w:name w:val="Schedule 5"/>
    <w:basedOn w:val="Normal"/>
    <w:qFormat/>
    <w:rsid w:val="00620C38"/>
    <w:pPr>
      <w:numPr>
        <w:ilvl w:val="6"/>
        <w:numId w:val="10"/>
      </w:numPr>
    </w:pPr>
  </w:style>
  <w:style w:type="paragraph" w:customStyle="1" w:styleId="Schedule6">
    <w:name w:val="Schedule 6"/>
    <w:basedOn w:val="Normal"/>
    <w:qFormat/>
    <w:rsid w:val="00620C38"/>
    <w:pPr>
      <w:numPr>
        <w:ilvl w:val="7"/>
        <w:numId w:val="10"/>
      </w:numPr>
    </w:pPr>
  </w:style>
  <w:style w:type="paragraph" w:customStyle="1" w:styleId="ScheduleHeading">
    <w:name w:val="Schedule Heading"/>
    <w:basedOn w:val="Normal"/>
    <w:next w:val="Schedule1"/>
    <w:qFormat/>
    <w:rsid w:val="00620C38"/>
    <w:pPr>
      <w:keepNext/>
      <w:numPr>
        <w:ilvl w:val="1"/>
        <w:numId w:val="10"/>
      </w:numPr>
      <w:spacing w:before="160"/>
      <w:outlineLvl w:val="1"/>
    </w:pPr>
    <w:rPr>
      <w:b/>
      <w:sz w:val="22"/>
    </w:rPr>
  </w:style>
  <w:style w:type="table" w:styleId="TableGrid">
    <w:name w:val="Table Grid"/>
    <w:basedOn w:val="TableNormal"/>
    <w:rsid w:val="00620C38"/>
    <w:pPr>
      <w:spacing w:after="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20C38"/>
    <w:pPr>
      <w:keepNext/>
      <w:spacing w:before="0" w:after="60"/>
    </w:pPr>
    <w:rPr>
      <w:sz w:val="32"/>
    </w:rPr>
  </w:style>
  <w:style w:type="character" w:customStyle="1" w:styleId="TitleChar">
    <w:name w:val="Title Char"/>
    <w:basedOn w:val="DefaultParagraphFont"/>
    <w:link w:val="Title"/>
    <w:rsid w:val="00620C38"/>
    <w:rPr>
      <w:rFonts w:ascii="Arial" w:eastAsia="Times New Roman" w:hAnsi="Arial" w:cs="Times New Roman"/>
      <w:sz w:val="32"/>
      <w:szCs w:val="20"/>
      <w:lang w:eastAsia="en-AU"/>
    </w:rPr>
  </w:style>
  <w:style w:type="paragraph" w:styleId="TOC1">
    <w:name w:val="toc 1"/>
    <w:basedOn w:val="Normal"/>
    <w:next w:val="TOC2"/>
    <w:autoRedefine/>
    <w:uiPriority w:val="39"/>
    <w:qFormat/>
    <w:rsid w:val="00620C38"/>
    <w:pPr>
      <w:tabs>
        <w:tab w:val="right" w:pos="9356"/>
      </w:tabs>
      <w:spacing w:line="240" w:lineRule="auto"/>
      <w:ind w:left="709" w:hanging="709"/>
    </w:pPr>
    <w:rPr>
      <w:rFonts w:ascii="Arial Bold" w:hAnsi="Arial Bold"/>
      <w:b/>
      <w:noProof/>
      <w:lang w:eastAsia="en-US"/>
    </w:rPr>
  </w:style>
  <w:style w:type="paragraph" w:styleId="TOC2">
    <w:name w:val="toc 2"/>
    <w:basedOn w:val="Normal"/>
    <w:autoRedefine/>
    <w:uiPriority w:val="39"/>
    <w:qFormat/>
    <w:rsid w:val="00620C38"/>
    <w:pPr>
      <w:tabs>
        <w:tab w:val="left" w:pos="709"/>
        <w:tab w:val="right" w:pos="9356"/>
      </w:tabs>
      <w:spacing w:before="60" w:line="240" w:lineRule="auto"/>
      <w:ind w:left="1418" w:hanging="709"/>
    </w:pPr>
    <w:rPr>
      <w:noProof/>
      <w:lang w:eastAsia="en-US"/>
    </w:rPr>
  </w:style>
  <w:style w:type="paragraph" w:styleId="TOC3">
    <w:name w:val="toc 3"/>
    <w:basedOn w:val="Normal"/>
    <w:autoRedefine/>
    <w:semiHidden/>
    <w:rsid w:val="00620C38"/>
    <w:pPr>
      <w:spacing w:before="60" w:line="240" w:lineRule="auto"/>
      <w:ind w:left="709"/>
    </w:pPr>
    <w:rPr>
      <w:noProof/>
      <w:lang w:eastAsia="en-US"/>
    </w:rPr>
  </w:style>
  <w:style w:type="paragraph" w:styleId="TOC4">
    <w:name w:val="toc 4"/>
    <w:basedOn w:val="Normal"/>
    <w:next w:val="Normal"/>
    <w:autoRedefine/>
    <w:semiHidden/>
    <w:rsid w:val="00620C38"/>
    <w:pPr>
      <w:tabs>
        <w:tab w:val="right" w:pos="7938"/>
      </w:tabs>
      <w:spacing w:before="60" w:line="240" w:lineRule="auto"/>
      <w:ind w:left="2835" w:hanging="709"/>
    </w:pPr>
    <w:rPr>
      <w:noProof/>
      <w:lang w:eastAsia="en-US"/>
    </w:rPr>
  </w:style>
  <w:style w:type="paragraph" w:styleId="TOC5">
    <w:name w:val="toc 5"/>
    <w:basedOn w:val="Normal"/>
    <w:next w:val="Normal"/>
    <w:autoRedefine/>
    <w:semiHidden/>
    <w:rsid w:val="00620C38"/>
    <w:pPr>
      <w:ind w:left="3544" w:hanging="709"/>
    </w:pPr>
    <w:rPr>
      <w:lang w:eastAsia="en-US"/>
    </w:rPr>
  </w:style>
  <w:style w:type="paragraph" w:styleId="TOC6">
    <w:name w:val="toc 6"/>
    <w:basedOn w:val="Normal"/>
    <w:next w:val="Normal"/>
    <w:autoRedefine/>
    <w:semiHidden/>
    <w:rsid w:val="00620C38"/>
    <w:pPr>
      <w:ind w:left="4253" w:hanging="709"/>
    </w:pPr>
    <w:rPr>
      <w:lang w:eastAsia="en-US"/>
    </w:rPr>
  </w:style>
  <w:style w:type="paragraph" w:styleId="TOC7">
    <w:name w:val="toc 7"/>
    <w:basedOn w:val="Normal"/>
    <w:next w:val="Normal"/>
    <w:autoRedefine/>
    <w:semiHidden/>
    <w:rsid w:val="00620C38"/>
    <w:pPr>
      <w:ind w:left="1200"/>
    </w:pPr>
    <w:rPr>
      <w:lang w:eastAsia="en-US"/>
    </w:rPr>
  </w:style>
  <w:style w:type="paragraph" w:styleId="TOC8">
    <w:name w:val="toc 8"/>
    <w:basedOn w:val="Normal"/>
    <w:next w:val="Normal"/>
    <w:autoRedefine/>
    <w:semiHidden/>
    <w:rsid w:val="00620C38"/>
    <w:pPr>
      <w:ind w:left="1400"/>
    </w:pPr>
    <w:rPr>
      <w:lang w:eastAsia="en-US"/>
    </w:rPr>
  </w:style>
  <w:style w:type="paragraph" w:styleId="TOC9">
    <w:name w:val="toc 9"/>
    <w:basedOn w:val="Normal"/>
    <w:next w:val="Normal"/>
    <w:autoRedefine/>
    <w:semiHidden/>
    <w:rsid w:val="00620C38"/>
    <w:pPr>
      <w:ind w:left="1600"/>
    </w:pPr>
    <w:rPr>
      <w:lang w:eastAsia="en-US"/>
    </w:rPr>
  </w:style>
  <w:style w:type="table" w:customStyle="1" w:styleId="TableGrid1">
    <w:name w:val="Table Grid1"/>
    <w:basedOn w:val="TableNormal"/>
    <w:next w:val="TableGrid"/>
    <w:rsid w:val="001636E1"/>
    <w:pPr>
      <w:spacing w:after="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636E1"/>
  </w:style>
  <w:style w:type="paragraph" w:styleId="ListParagraph">
    <w:name w:val="List Paragraph"/>
    <w:basedOn w:val="Normal"/>
    <w:uiPriority w:val="34"/>
    <w:qFormat/>
    <w:rsid w:val="00D37D0D"/>
    <w:pPr>
      <w:ind w:left="720"/>
      <w:contextualSpacing/>
    </w:pPr>
  </w:style>
  <w:style w:type="character" w:styleId="CommentReference">
    <w:name w:val="annotation reference"/>
    <w:basedOn w:val="DefaultParagraphFont"/>
    <w:uiPriority w:val="99"/>
    <w:semiHidden/>
    <w:unhideWhenUsed/>
    <w:rsid w:val="0009598C"/>
    <w:rPr>
      <w:sz w:val="16"/>
      <w:szCs w:val="16"/>
    </w:rPr>
  </w:style>
  <w:style w:type="paragraph" w:styleId="CommentText">
    <w:name w:val="annotation text"/>
    <w:basedOn w:val="Normal"/>
    <w:link w:val="CommentTextChar"/>
    <w:uiPriority w:val="99"/>
    <w:semiHidden/>
    <w:unhideWhenUsed/>
    <w:rsid w:val="0009598C"/>
    <w:pPr>
      <w:spacing w:line="240" w:lineRule="auto"/>
    </w:pPr>
  </w:style>
  <w:style w:type="character" w:customStyle="1" w:styleId="CommentTextChar">
    <w:name w:val="Comment Text Char"/>
    <w:basedOn w:val="DefaultParagraphFont"/>
    <w:link w:val="CommentText"/>
    <w:uiPriority w:val="99"/>
    <w:semiHidden/>
    <w:rsid w:val="0009598C"/>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9598C"/>
    <w:rPr>
      <w:b/>
      <w:bCs/>
    </w:rPr>
  </w:style>
  <w:style w:type="character" w:customStyle="1" w:styleId="CommentSubjectChar">
    <w:name w:val="Comment Subject Char"/>
    <w:basedOn w:val="CommentTextChar"/>
    <w:link w:val="CommentSubject"/>
    <w:uiPriority w:val="99"/>
    <w:semiHidden/>
    <w:rsid w:val="0009598C"/>
    <w:rPr>
      <w:rFonts w:ascii="Arial" w:eastAsia="Times New Roman" w:hAnsi="Arial" w:cs="Times New Roman"/>
      <w:b/>
      <w:bCs/>
      <w:sz w:val="20"/>
      <w:szCs w:val="20"/>
      <w:lang w:eastAsia="en-AU"/>
    </w:rPr>
  </w:style>
  <w:style w:type="paragraph" w:styleId="Revision">
    <w:name w:val="Revision"/>
    <w:hidden/>
    <w:uiPriority w:val="99"/>
    <w:semiHidden/>
    <w:rsid w:val="0009598C"/>
    <w:pPr>
      <w:spacing w:after="0" w:line="240" w:lineRule="auto"/>
    </w:pPr>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2D47F2"/>
    <w:rPr>
      <w:vertAlign w:val="superscript"/>
    </w:rPr>
  </w:style>
  <w:style w:type="paragraph" w:styleId="NormalWeb">
    <w:name w:val="Normal (Web)"/>
    <w:basedOn w:val="Normal"/>
    <w:uiPriority w:val="99"/>
    <w:semiHidden/>
    <w:unhideWhenUsed/>
    <w:rsid w:val="002D47F2"/>
    <w:pPr>
      <w:spacing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8665B8"/>
    <w:rPr>
      <w:color w:val="800080" w:themeColor="followedHyperlink"/>
      <w:u w:val="single"/>
    </w:rPr>
  </w:style>
  <w:style w:type="paragraph" w:styleId="EndnoteText">
    <w:name w:val="endnote text"/>
    <w:basedOn w:val="Normal"/>
    <w:link w:val="EndnoteTextChar"/>
    <w:uiPriority w:val="99"/>
    <w:semiHidden/>
    <w:unhideWhenUsed/>
    <w:rsid w:val="006B25AC"/>
    <w:pPr>
      <w:spacing w:before="0" w:line="240" w:lineRule="auto"/>
    </w:pPr>
  </w:style>
  <w:style w:type="character" w:customStyle="1" w:styleId="EndnoteTextChar">
    <w:name w:val="Endnote Text Char"/>
    <w:basedOn w:val="DefaultParagraphFont"/>
    <w:link w:val="EndnoteText"/>
    <w:uiPriority w:val="99"/>
    <w:semiHidden/>
    <w:rsid w:val="006B25AC"/>
    <w:rPr>
      <w:rFonts w:ascii="Arial" w:eastAsia="Times New Roman" w:hAnsi="Arial" w:cs="Times New Roman"/>
      <w:sz w:val="20"/>
      <w:szCs w:val="20"/>
      <w:lang w:eastAsia="en-AU"/>
    </w:rPr>
  </w:style>
  <w:style w:type="character" w:styleId="EndnoteReference">
    <w:name w:val="endnote reference"/>
    <w:basedOn w:val="DefaultParagraphFont"/>
    <w:uiPriority w:val="99"/>
    <w:semiHidden/>
    <w:unhideWhenUsed/>
    <w:rsid w:val="006B25AC"/>
    <w:rPr>
      <w:vertAlign w:val="superscript"/>
    </w:rPr>
  </w:style>
  <w:style w:type="character" w:customStyle="1" w:styleId="UnresolvedMention">
    <w:name w:val="Unresolved Mention"/>
    <w:basedOn w:val="DefaultParagraphFont"/>
    <w:uiPriority w:val="99"/>
    <w:semiHidden/>
    <w:unhideWhenUsed/>
    <w:rsid w:val="00B137EC"/>
    <w:rPr>
      <w:color w:val="605E5C"/>
      <w:shd w:val="clear" w:color="auto" w:fill="E1DFDD"/>
    </w:rPr>
  </w:style>
  <w:style w:type="paragraph" w:styleId="Caption">
    <w:name w:val="caption"/>
    <w:basedOn w:val="Normal"/>
    <w:next w:val="Normal"/>
    <w:uiPriority w:val="35"/>
    <w:unhideWhenUsed/>
    <w:qFormat/>
    <w:rsid w:val="007116A9"/>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5736">
      <w:bodyDiv w:val="1"/>
      <w:marLeft w:val="0"/>
      <w:marRight w:val="0"/>
      <w:marTop w:val="0"/>
      <w:marBottom w:val="0"/>
      <w:divBdr>
        <w:top w:val="none" w:sz="0" w:space="0" w:color="auto"/>
        <w:left w:val="none" w:sz="0" w:space="0" w:color="auto"/>
        <w:bottom w:val="none" w:sz="0" w:space="0" w:color="auto"/>
        <w:right w:val="none" w:sz="0" w:space="0" w:color="auto"/>
      </w:divBdr>
    </w:div>
    <w:div w:id="71708760">
      <w:bodyDiv w:val="1"/>
      <w:marLeft w:val="0"/>
      <w:marRight w:val="0"/>
      <w:marTop w:val="0"/>
      <w:marBottom w:val="0"/>
      <w:divBdr>
        <w:top w:val="none" w:sz="0" w:space="0" w:color="auto"/>
        <w:left w:val="none" w:sz="0" w:space="0" w:color="auto"/>
        <w:bottom w:val="none" w:sz="0" w:space="0" w:color="auto"/>
        <w:right w:val="none" w:sz="0" w:space="0" w:color="auto"/>
      </w:divBdr>
    </w:div>
    <w:div w:id="88939094">
      <w:bodyDiv w:val="1"/>
      <w:marLeft w:val="0"/>
      <w:marRight w:val="0"/>
      <w:marTop w:val="0"/>
      <w:marBottom w:val="0"/>
      <w:divBdr>
        <w:top w:val="none" w:sz="0" w:space="0" w:color="auto"/>
        <w:left w:val="none" w:sz="0" w:space="0" w:color="auto"/>
        <w:bottom w:val="none" w:sz="0" w:space="0" w:color="auto"/>
        <w:right w:val="none" w:sz="0" w:space="0" w:color="auto"/>
      </w:divBdr>
    </w:div>
    <w:div w:id="124129876">
      <w:bodyDiv w:val="1"/>
      <w:marLeft w:val="0"/>
      <w:marRight w:val="0"/>
      <w:marTop w:val="0"/>
      <w:marBottom w:val="0"/>
      <w:divBdr>
        <w:top w:val="none" w:sz="0" w:space="0" w:color="auto"/>
        <w:left w:val="none" w:sz="0" w:space="0" w:color="auto"/>
        <w:bottom w:val="none" w:sz="0" w:space="0" w:color="auto"/>
        <w:right w:val="none" w:sz="0" w:space="0" w:color="auto"/>
      </w:divBdr>
    </w:div>
    <w:div w:id="140539111">
      <w:bodyDiv w:val="1"/>
      <w:marLeft w:val="0"/>
      <w:marRight w:val="0"/>
      <w:marTop w:val="0"/>
      <w:marBottom w:val="0"/>
      <w:divBdr>
        <w:top w:val="none" w:sz="0" w:space="0" w:color="auto"/>
        <w:left w:val="none" w:sz="0" w:space="0" w:color="auto"/>
        <w:bottom w:val="none" w:sz="0" w:space="0" w:color="auto"/>
        <w:right w:val="none" w:sz="0" w:space="0" w:color="auto"/>
      </w:divBdr>
    </w:div>
    <w:div w:id="145441811">
      <w:bodyDiv w:val="1"/>
      <w:marLeft w:val="0"/>
      <w:marRight w:val="0"/>
      <w:marTop w:val="0"/>
      <w:marBottom w:val="0"/>
      <w:divBdr>
        <w:top w:val="none" w:sz="0" w:space="0" w:color="auto"/>
        <w:left w:val="none" w:sz="0" w:space="0" w:color="auto"/>
        <w:bottom w:val="none" w:sz="0" w:space="0" w:color="auto"/>
        <w:right w:val="none" w:sz="0" w:space="0" w:color="auto"/>
      </w:divBdr>
    </w:div>
    <w:div w:id="146944320">
      <w:bodyDiv w:val="1"/>
      <w:marLeft w:val="0"/>
      <w:marRight w:val="0"/>
      <w:marTop w:val="0"/>
      <w:marBottom w:val="0"/>
      <w:divBdr>
        <w:top w:val="none" w:sz="0" w:space="0" w:color="auto"/>
        <w:left w:val="none" w:sz="0" w:space="0" w:color="auto"/>
        <w:bottom w:val="none" w:sz="0" w:space="0" w:color="auto"/>
        <w:right w:val="none" w:sz="0" w:space="0" w:color="auto"/>
      </w:divBdr>
    </w:div>
    <w:div w:id="217589804">
      <w:bodyDiv w:val="1"/>
      <w:marLeft w:val="0"/>
      <w:marRight w:val="0"/>
      <w:marTop w:val="0"/>
      <w:marBottom w:val="0"/>
      <w:divBdr>
        <w:top w:val="none" w:sz="0" w:space="0" w:color="auto"/>
        <w:left w:val="none" w:sz="0" w:space="0" w:color="auto"/>
        <w:bottom w:val="none" w:sz="0" w:space="0" w:color="auto"/>
        <w:right w:val="none" w:sz="0" w:space="0" w:color="auto"/>
      </w:divBdr>
    </w:div>
    <w:div w:id="222447488">
      <w:bodyDiv w:val="1"/>
      <w:marLeft w:val="0"/>
      <w:marRight w:val="0"/>
      <w:marTop w:val="0"/>
      <w:marBottom w:val="0"/>
      <w:divBdr>
        <w:top w:val="none" w:sz="0" w:space="0" w:color="auto"/>
        <w:left w:val="none" w:sz="0" w:space="0" w:color="auto"/>
        <w:bottom w:val="none" w:sz="0" w:space="0" w:color="auto"/>
        <w:right w:val="none" w:sz="0" w:space="0" w:color="auto"/>
      </w:divBdr>
    </w:div>
    <w:div w:id="264504024">
      <w:bodyDiv w:val="1"/>
      <w:marLeft w:val="0"/>
      <w:marRight w:val="0"/>
      <w:marTop w:val="0"/>
      <w:marBottom w:val="0"/>
      <w:divBdr>
        <w:top w:val="none" w:sz="0" w:space="0" w:color="auto"/>
        <w:left w:val="none" w:sz="0" w:space="0" w:color="auto"/>
        <w:bottom w:val="none" w:sz="0" w:space="0" w:color="auto"/>
        <w:right w:val="none" w:sz="0" w:space="0" w:color="auto"/>
      </w:divBdr>
    </w:div>
    <w:div w:id="292827253">
      <w:bodyDiv w:val="1"/>
      <w:marLeft w:val="0"/>
      <w:marRight w:val="0"/>
      <w:marTop w:val="0"/>
      <w:marBottom w:val="0"/>
      <w:divBdr>
        <w:top w:val="none" w:sz="0" w:space="0" w:color="auto"/>
        <w:left w:val="none" w:sz="0" w:space="0" w:color="auto"/>
        <w:bottom w:val="none" w:sz="0" w:space="0" w:color="auto"/>
        <w:right w:val="none" w:sz="0" w:space="0" w:color="auto"/>
      </w:divBdr>
    </w:div>
    <w:div w:id="332299531">
      <w:bodyDiv w:val="1"/>
      <w:marLeft w:val="0"/>
      <w:marRight w:val="0"/>
      <w:marTop w:val="0"/>
      <w:marBottom w:val="0"/>
      <w:divBdr>
        <w:top w:val="none" w:sz="0" w:space="0" w:color="auto"/>
        <w:left w:val="none" w:sz="0" w:space="0" w:color="auto"/>
        <w:bottom w:val="none" w:sz="0" w:space="0" w:color="auto"/>
        <w:right w:val="none" w:sz="0" w:space="0" w:color="auto"/>
      </w:divBdr>
    </w:div>
    <w:div w:id="360712320">
      <w:bodyDiv w:val="1"/>
      <w:marLeft w:val="0"/>
      <w:marRight w:val="0"/>
      <w:marTop w:val="0"/>
      <w:marBottom w:val="0"/>
      <w:divBdr>
        <w:top w:val="none" w:sz="0" w:space="0" w:color="auto"/>
        <w:left w:val="none" w:sz="0" w:space="0" w:color="auto"/>
        <w:bottom w:val="none" w:sz="0" w:space="0" w:color="auto"/>
        <w:right w:val="none" w:sz="0" w:space="0" w:color="auto"/>
      </w:divBdr>
    </w:div>
    <w:div w:id="380593049">
      <w:bodyDiv w:val="1"/>
      <w:marLeft w:val="0"/>
      <w:marRight w:val="0"/>
      <w:marTop w:val="0"/>
      <w:marBottom w:val="0"/>
      <w:divBdr>
        <w:top w:val="none" w:sz="0" w:space="0" w:color="auto"/>
        <w:left w:val="none" w:sz="0" w:space="0" w:color="auto"/>
        <w:bottom w:val="none" w:sz="0" w:space="0" w:color="auto"/>
        <w:right w:val="none" w:sz="0" w:space="0" w:color="auto"/>
      </w:divBdr>
    </w:div>
    <w:div w:id="457183423">
      <w:bodyDiv w:val="1"/>
      <w:marLeft w:val="0"/>
      <w:marRight w:val="0"/>
      <w:marTop w:val="0"/>
      <w:marBottom w:val="0"/>
      <w:divBdr>
        <w:top w:val="none" w:sz="0" w:space="0" w:color="auto"/>
        <w:left w:val="none" w:sz="0" w:space="0" w:color="auto"/>
        <w:bottom w:val="none" w:sz="0" w:space="0" w:color="auto"/>
        <w:right w:val="none" w:sz="0" w:space="0" w:color="auto"/>
      </w:divBdr>
    </w:div>
    <w:div w:id="472018352">
      <w:bodyDiv w:val="1"/>
      <w:marLeft w:val="0"/>
      <w:marRight w:val="0"/>
      <w:marTop w:val="0"/>
      <w:marBottom w:val="0"/>
      <w:divBdr>
        <w:top w:val="none" w:sz="0" w:space="0" w:color="auto"/>
        <w:left w:val="none" w:sz="0" w:space="0" w:color="auto"/>
        <w:bottom w:val="none" w:sz="0" w:space="0" w:color="auto"/>
        <w:right w:val="none" w:sz="0" w:space="0" w:color="auto"/>
      </w:divBdr>
    </w:div>
    <w:div w:id="527648110">
      <w:bodyDiv w:val="1"/>
      <w:marLeft w:val="0"/>
      <w:marRight w:val="0"/>
      <w:marTop w:val="0"/>
      <w:marBottom w:val="0"/>
      <w:divBdr>
        <w:top w:val="none" w:sz="0" w:space="0" w:color="auto"/>
        <w:left w:val="none" w:sz="0" w:space="0" w:color="auto"/>
        <w:bottom w:val="none" w:sz="0" w:space="0" w:color="auto"/>
        <w:right w:val="none" w:sz="0" w:space="0" w:color="auto"/>
      </w:divBdr>
    </w:div>
    <w:div w:id="547035811">
      <w:bodyDiv w:val="1"/>
      <w:marLeft w:val="0"/>
      <w:marRight w:val="0"/>
      <w:marTop w:val="0"/>
      <w:marBottom w:val="0"/>
      <w:divBdr>
        <w:top w:val="none" w:sz="0" w:space="0" w:color="auto"/>
        <w:left w:val="none" w:sz="0" w:space="0" w:color="auto"/>
        <w:bottom w:val="none" w:sz="0" w:space="0" w:color="auto"/>
        <w:right w:val="none" w:sz="0" w:space="0" w:color="auto"/>
      </w:divBdr>
    </w:div>
    <w:div w:id="575165959">
      <w:bodyDiv w:val="1"/>
      <w:marLeft w:val="0"/>
      <w:marRight w:val="0"/>
      <w:marTop w:val="0"/>
      <w:marBottom w:val="0"/>
      <w:divBdr>
        <w:top w:val="none" w:sz="0" w:space="0" w:color="auto"/>
        <w:left w:val="none" w:sz="0" w:space="0" w:color="auto"/>
        <w:bottom w:val="none" w:sz="0" w:space="0" w:color="auto"/>
        <w:right w:val="none" w:sz="0" w:space="0" w:color="auto"/>
      </w:divBdr>
    </w:div>
    <w:div w:id="636104138">
      <w:bodyDiv w:val="1"/>
      <w:marLeft w:val="0"/>
      <w:marRight w:val="0"/>
      <w:marTop w:val="0"/>
      <w:marBottom w:val="0"/>
      <w:divBdr>
        <w:top w:val="none" w:sz="0" w:space="0" w:color="auto"/>
        <w:left w:val="none" w:sz="0" w:space="0" w:color="auto"/>
        <w:bottom w:val="none" w:sz="0" w:space="0" w:color="auto"/>
        <w:right w:val="none" w:sz="0" w:space="0" w:color="auto"/>
      </w:divBdr>
    </w:div>
    <w:div w:id="646977097">
      <w:bodyDiv w:val="1"/>
      <w:marLeft w:val="0"/>
      <w:marRight w:val="0"/>
      <w:marTop w:val="0"/>
      <w:marBottom w:val="0"/>
      <w:divBdr>
        <w:top w:val="none" w:sz="0" w:space="0" w:color="auto"/>
        <w:left w:val="none" w:sz="0" w:space="0" w:color="auto"/>
        <w:bottom w:val="none" w:sz="0" w:space="0" w:color="auto"/>
        <w:right w:val="none" w:sz="0" w:space="0" w:color="auto"/>
      </w:divBdr>
    </w:div>
    <w:div w:id="713894250">
      <w:bodyDiv w:val="1"/>
      <w:marLeft w:val="0"/>
      <w:marRight w:val="0"/>
      <w:marTop w:val="0"/>
      <w:marBottom w:val="0"/>
      <w:divBdr>
        <w:top w:val="none" w:sz="0" w:space="0" w:color="auto"/>
        <w:left w:val="none" w:sz="0" w:space="0" w:color="auto"/>
        <w:bottom w:val="none" w:sz="0" w:space="0" w:color="auto"/>
        <w:right w:val="none" w:sz="0" w:space="0" w:color="auto"/>
      </w:divBdr>
    </w:div>
    <w:div w:id="722213166">
      <w:bodyDiv w:val="1"/>
      <w:marLeft w:val="0"/>
      <w:marRight w:val="0"/>
      <w:marTop w:val="0"/>
      <w:marBottom w:val="0"/>
      <w:divBdr>
        <w:top w:val="none" w:sz="0" w:space="0" w:color="auto"/>
        <w:left w:val="none" w:sz="0" w:space="0" w:color="auto"/>
        <w:bottom w:val="none" w:sz="0" w:space="0" w:color="auto"/>
        <w:right w:val="none" w:sz="0" w:space="0" w:color="auto"/>
      </w:divBdr>
    </w:div>
    <w:div w:id="818422296">
      <w:bodyDiv w:val="1"/>
      <w:marLeft w:val="0"/>
      <w:marRight w:val="0"/>
      <w:marTop w:val="0"/>
      <w:marBottom w:val="0"/>
      <w:divBdr>
        <w:top w:val="none" w:sz="0" w:space="0" w:color="auto"/>
        <w:left w:val="none" w:sz="0" w:space="0" w:color="auto"/>
        <w:bottom w:val="none" w:sz="0" w:space="0" w:color="auto"/>
        <w:right w:val="none" w:sz="0" w:space="0" w:color="auto"/>
      </w:divBdr>
    </w:div>
    <w:div w:id="853302777">
      <w:bodyDiv w:val="1"/>
      <w:marLeft w:val="0"/>
      <w:marRight w:val="0"/>
      <w:marTop w:val="0"/>
      <w:marBottom w:val="0"/>
      <w:divBdr>
        <w:top w:val="none" w:sz="0" w:space="0" w:color="auto"/>
        <w:left w:val="none" w:sz="0" w:space="0" w:color="auto"/>
        <w:bottom w:val="none" w:sz="0" w:space="0" w:color="auto"/>
        <w:right w:val="none" w:sz="0" w:space="0" w:color="auto"/>
      </w:divBdr>
    </w:div>
    <w:div w:id="884753462">
      <w:bodyDiv w:val="1"/>
      <w:marLeft w:val="0"/>
      <w:marRight w:val="0"/>
      <w:marTop w:val="0"/>
      <w:marBottom w:val="0"/>
      <w:divBdr>
        <w:top w:val="none" w:sz="0" w:space="0" w:color="auto"/>
        <w:left w:val="none" w:sz="0" w:space="0" w:color="auto"/>
        <w:bottom w:val="none" w:sz="0" w:space="0" w:color="auto"/>
        <w:right w:val="none" w:sz="0" w:space="0" w:color="auto"/>
      </w:divBdr>
    </w:div>
    <w:div w:id="952204603">
      <w:bodyDiv w:val="1"/>
      <w:marLeft w:val="0"/>
      <w:marRight w:val="0"/>
      <w:marTop w:val="0"/>
      <w:marBottom w:val="0"/>
      <w:divBdr>
        <w:top w:val="none" w:sz="0" w:space="0" w:color="auto"/>
        <w:left w:val="none" w:sz="0" w:space="0" w:color="auto"/>
        <w:bottom w:val="none" w:sz="0" w:space="0" w:color="auto"/>
        <w:right w:val="none" w:sz="0" w:space="0" w:color="auto"/>
      </w:divBdr>
    </w:div>
    <w:div w:id="953025510">
      <w:bodyDiv w:val="1"/>
      <w:marLeft w:val="0"/>
      <w:marRight w:val="0"/>
      <w:marTop w:val="0"/>
      <w:marBottom w:val="0"/>
      <w:divBdr>
        <w:top w:val="none" w:sz="0" w:space="0" w:color="auto"/>
        <w:left w:val="none" w:sz="0" w:space="0" w:color="auto"/>
        <w:bottom w:val="none" w:sz="0" w:space="0" w:color="auto"/>
        <w:right w:val="none" w:sz="0" w:space="0" w:color="auto"/>
      </w:divBdr>
    </w:div>
    <w:div w:id="1008601958">
      <w:bodyDiv w:val="1"/>
      <w:marLeft w:val="0"/>
      <w:marRight w:val="0"/>
      <w:marTop w:val="0"/>
      <w:marBottom w:val="0"/>
      <w:divBdr>
        <w:top w:val="none" w:sz="0" w:space="0" w:color="auto"/>
        <w:left w:val="none" w:sz="0" w:space="0" w:color="auto"/>
        <w:bottom w:val="none" w:sz="0" w:space="0" w:color="auto"/>
        <w:right w:val="none" w:sz="0" w:space="0" w:color="auto"/>
      </w:divBdr>
    </w:div>
    <w:div w:id="1198929166">
      <w:bodyDiv w:val="1"/>
      <w:marLeft w:val="0"/>
      <w:marRight w:val="0"/>
      <w:marTop w:val="0"/>
      <w:marBottom w:val="0"/>
      <w:divBdr>
        <w:top w:val="none" w:sz="0" w:space="0" w:color="auto"/>
        <w:left w:val="none" w:sz="0" w:space="0" w:color="auto"/>
        <w:bottom w:val="none" w:sz="0" w:space="0" w:color="auto"/>
        <w:right w:val="none" w:sz="0" w:space="0" w:color="auto"/>
      </w:divBdr>
    </w:div>
    <w:div w:id="1239055504">
      <w:bodyDiv w:val="1"/>
      <w:marLeft w:val="0"/>
      <w:marRight w:val="0"/>
      <w:marTop w:val="0"/>
      <w:marBottom w:val="0"/>
      <w:divBdr>
        <w:top w:val="none" w:sz="0" w:space="0" w:color="auto"/>
        <w:left w:val="none" w:sz="0" w:space="0" w:color="auto"/>
        <w:bottom w:val="none" w:sz="0" w:space="0" w:color="auto"/>
        <w:right w:val="none" w:sz="0" w:space="0" w:color="auto"/>
      </w:divBdr>
    </w:div>
    <w:div w:id="1304239233">
      <w:bodyDiv w:val="1"/>
      <w:marLeft w:val="0"/>
      <w:marRight w:val="0"/>
      <w:marTop w:val="0"/>
      <w:marBottom w:val="0"/>
      <w:divBdr>
        <w:top w:val="none" w:sz="0" w:space="0" w:color="auto"/>
        <w:left w:val="none" w:sz="0" w:space="0" w:color="auto"/>
        <w:bottom w:val="none" w:sz="0" w:space="0" w:color="auto"/>
        <w:right w:val="none" w:sz="0" w:space="0" w:color="auto"/>
      </w:divBdr>
    </w:div>
    <w:div w:id="1410272017">
      <w:bodyDiv w:val="1"/>
      <w:marLeft w:val="0"/>
      <w:marRight w:val="0"/>
      <w:marTop w:val="0"/>
      <w:marBottom w:val="0"/>
      <w:divBdr>
        <w:top w:val="none" w:sz="0" w:space="0" w:color="auto"/>
        <w:left w:val="none" w:sz="0" w:space="0" w:color="auto"/>
        <w:bottom w:val="none" w:sz="0" w:space="0" w:color="auto"/>
        <w:right w:val="none" w:sz="0" w:space="0" w:color="auto"/>
      </w:divBdr>
    </w:div>
    <w:div w:id="1474984050">
      <w:bodyDiv w:val="1"/>
      <w:marLeft w:val="0"/>
      <w:marRight w:val="0"/>
      <w:marTop w:val="0"/>
      <w:marBottom w:val="0"/>
      <w:divBdr>
        <w:top w:val="none" w:sz="0" w:space="0" w:color="auto"/>
        <w:left w:val="none" w:sz="0" w:space="0" w:color="auto"/>
        <w:bottom w:val="none" w:sz="0" w:space="0" w:color="auto"/>
        <w:right w:val="none" w:sz="0" w:space="0" w:color="auto"/>
      </w:divBdr>
    </w:div>
    <w:div w:id="1539122466">
      <w:bodyDiv w:val="1"/>
      <w:marLeft w:val="0"/>
      <w:marRight w:val="0"/>
      <w:marTop w:val="0"/>
      <w:marBottom w:val="0"/>
      <w:divBdr>
        <w:top w:val="none" w:sz="0" w:space="0" w:color="auto"/>
        <w:left w:val="none" w:sz="0" w:space="0" w:color="auto"/>
        <w:bottom w:val="none" w:sz="0" w:space="0" w:color="auto"/>
        <w:right w:val="none" w:sz="0" w:space="0" w:color="auto"/>
      </w:divBdr>
    </w:div>
    <w:div w:id="1554001785">
      <w:bodyDiv w:val="1"/>
      <w:marLeft w:val="0"/>
      <w:marRight w:val="0"/>
      <w:marTop w:val="0"/>
      <w:marBottom w:val="0"/>
      <w:divBdr>
        <w:top w:val="none" w:sz="0" w:space="0" w:color="auto"/>
        <w:left w:val="none" w:sz="0" w:space="0" w:color="auto"/>
        <w:bottom w:val="none" w:sz="0" w:space="0" w:color="auto"/>
        <w:right w:val="none" w:sz="0" w:space="0" w:color="auto"/>
      </w:divBdr>
    </w:div>
    <w:div w:id="1574581902">
      <w:bodyDiv w:val="1"/>
      <w:marLeft w:val="0"/>
      <w:marRight w:val="0"/>
      <w:marTop w:val="0"/>
      <w:marBottom w:val="0"/>
      <w:divBdr>
        <w:top w:val="none" w:sz="0" w:space="0" w:color="auto"/>
        <w:left w:val="none" w:sz="0" w:space="0" w:color="auto"/>
        <w:bottom w:val="none" w:sz="0" w:space="0" w:color="auto"/>
        <w:right w:val="none" w:sz="0" w:space="0" w:color="auto"/>
      </w:divBdr>
    </w:div>
    <w:div w:id="1758284612">
      <w:bodyDiv w:val="1"/>
      <w:marLeft w:val="0"/>
      <w:marRight w:val="0"/>
      <w:marTop w:val="0"/>
      <w:marBottom w:val="0"/>
      <w:divBdr>
        <w:top w:val="none" w:sz="0" w:space="0" w:color="auto"/>
        <w:left w:val="none" w:sz="0" w:space="0" w:color="auto"/>
        <w:bottom w:val="none" w:sz="0" w:space="0" w:color="auto"/>
        <w:right w:val="none" w:sz="0" w:space="0" w:color="auto"/>
      </w:divBdr>
    </w:div>
    <w:div w:id="1767531055">
      <w:bodyDiv w:val="1"/>
      <w:marLeft w:val="0"/>
      <w:marRight w:val="0"/>
      <w:marTop w:val="0"/>
      <w:marBottom w:val="0"/>
      <w:divBdr>
        <w:top w:val="none" w:sz="0" w:space="0" w:color="auto"/>
        <w:left w:val="none" w:sz="0" w:space="0" w:color="auto"/>
        <w:bottom w:val="none" w:sz="0" w:space="0" w:color="auto"/>
        <w:right w:val="none" w:sz="0" w:space="0" w:color="auto"/>
      </w:divBdr>
    </w:div>
    <w:div w:id="1834298890">
      <w:bodyDiv w:val="1"/>
      <w:marLeft w:val="0"/>
      <w:marRight w:val="0"/>
      <w:marTop w:val="0"/>
      <w:marBottom w:val="0"/>
      <w:divBdr>
        <w:top w:val="none" w:sz="0" w:space="0" w:color="auto"/>
        <w:left w:val="none" w:sz="0" w:space="0" w:color="auto"/>
        <w:bottom w:val="none" w:sz="0" w:space="0" w:color="auto"/>
        <w:right w:val="none" w:sz="0" w:space="0" w:color="auto"/>
      </w:divBdr>
    </w:div>
    <w:div w:id="1858688036">
      <w:bodyDiv w:val="1"/>
      <w:marLeft w:val="0"/>
      <w:marRight w:val="0"/>
      <w:marTop w:val="0"/>
      <w:marBottom w:val="0"/>
      <w:divBdr>
        <w:top w:val="none" w:sz="0" w:space="0" w:color="auto"/>
        <w:left w:val="none" w:sz="0" w:space="0" w:color="auto"/>
        <w:bottom w:val="none" w:sz="0" w:space="0" w:color="auto"/>
        <w:right w:val="none" w:sz="0" w:space="0" w:color="auto"/>
      </w:divBdr>
    </w:div>
    <w:div w:id="1872186076">
      <w:bodyDiv w:val="1"/>
      <w:marLeft w:val="0"/>
      <w:marRight w:val="0"/>
      <w:marTop w:val="0"/>
      <w:marBottom w:val="0"/>
      <w:divBdr>
        <w:top w:val="none" w:sz="0" w:space="0" w:color="auto"/>
        <w:left w:val="none" w:sz="0" w:space="0" w:color="auto"/>
        <w:bottom w:val="none" w:sz="0" w:space="0" w:color="auto"/>
        <w:right w:val="none" w:sz="0" w:space="0" w:color="auto"/>
      </w:divBdr>
    </w:div>
    <w:div w:id="1878353913">
      <w:bodyDiv w:val="1"/>
      <w:marLeft w:val="0"/>
      <w:marRight w:val="0"/>
      <w:marTop w:val="0"/>
      <w:marBottom w:val="0"/>
      <w:divBdr>
        <w:top w:val="none" w:sz="0" w:space="0" w:color="auto"/>
        <w:left w:val="none" w:sz="0" w:space="0" w:color="auto"/>
        <w:bottom w:val="none" w:sz="0" w:space="0" w:color="auto"/>
        <w:right w:val="none" w:sz="0" w:space="0" w:color="auto"/>
      </w:divBdr>
    </w:div>
    <w:div w:id="1935672621">
      <w:bodyDiv w:val="1"/>
      <w:marLeft w:val="0"/>
      <w:marRight w:val="0"/>
      <w:marTop w:val="0"/>
      <w:marBottom w:val="0"/>
      <w:divBdr>
        <w:top w:val="none" w:sz="0" w:space="0" w:color="auto"/>
        <w:left w:val="none" w:sz="0" w:space="0" w:color="auto"/>
        <w:bottom w:val="none" w:sz="0" w:space="0" w:color="auto"/>
        <w:right w:val="none" w:sz="0" w:space="0" w:color="auto"/>
      </w:divBdr>
    </w:div>
    <w:div w:id="1990937276">
      <w:bodyDiv w:val="1"/>
      <w:marLeft w:val="0"/>
      <w:marRight w:val="0"/>
      <w:marTop w:val="0"/>
      <w:marBottom w:val="0"/>
      <w:divBdr>
        <w:top w:val="none" w:sz="0" w:space="0" w:color="auto"/>
        <w:left w:val="none" w:sz="0" w:space="0" w:color="auto"/>
        <w:bottom w:val="none" w:sz="0" w:space="0" w:color="auto"/>
        <w:right w:val="none" w:sz="0" w:space="0" w:color="auto"/>
      </w:divBdr>
    </w:div>
    <w:div w:id="2005206329">
      <w:bodyDiv w:val="1"/>
      <w:marLeft w:val="0"/>
      <w:marRight w:val="0"/>
      <w:marTop w:val="0"/>
      <w:marBottom w:val="0"/>
      <w:divBdr>
        <w:top w:val="none" w:sz="0" w:space="0" w:color="auto"/>
        <w:left w:val="none" w:sz="0" w:space="0" w:color="auto"/>
        <w:bottom w:val="none" w:sz="0" w:space="0" w:color="auto"/>
        <w:right w:val="none" w:sz="0" w:space="0" w:color="auto"/>
      </w:divBdr>
    </w:div>
    <w:div w:id="214696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marshall@redcross.org.au" TargetMode="External"/><Relationship Id="rId13" Type="http://schemas.openxmlformats.org/officeDocument/2006/relationships/hyperlink" Target="http://www.fao.org/faolex/results/details/en/c/LEX-FAOC107986"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fao.org/faolex/results/details/en/c/LEX-FAOC006227" TargetMode="Externa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constituteproject.org/constitution/Nepal_20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o.org/faolex/results/details/en/c/LEX-FAOC006239"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10" Type="http://schemas.openxmlformats.org/officeDocument/2006/relationships/hyperlink" Target="http://www.fao.org/faolex/results/details/en/c/LEX-FAOC107985" TargetMode="External"/><Relationship Id="rId19" Type="http://schemas.openxmlformats.org/officeDocument/2006/relationships/image" Target="media/image4.svg"/><Relationship Id="rId4" Type="http://schemas.openxmlformats.org/officeDocument/2006/relationships/settings" Target="settings.xml"/><Relationship Id="rId9" Type="http://schemas.openxmlformats.org/officeDocument/2006/relationships/hyperlink" Target="https://www.constituteproject.org/constitution/Nepal_2015.pdf" TargetMode="External"/><Relationship Id="rId14" Type="http://schemas.openxmlformats.org/officeDocument/2006/relationships/header" Target="header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5BEEB-BAEF-488C-BEEE-B7333470A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D1156930</Template>
  <TotalTime>0</TotalTime>
  <Pages>32</Pages>
  <Words>8481</Words>
  <Characters>51358</Characters>
  <Application>Microsoft Office Word</Application>
  <DocSecurity>4</DocSecurity>
  <Lines>427</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 Leeanne</dc:creator>
  <cp:lastModifiedBy>Marshall, Leeanne</cp:lastModifiedBy>
  <cp:revision>2</cp:revision>
  <dcterms:created xsi:type="dcterms:W3CDTF">2019-07-09T06:36:00Z</dcterms:created>
  <dcterms:modified xsi:type="dcterms:W3CDTF">2019-07-09T06:36:00Z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Footer">
    <vt:lpwstr>rrmm A0142685715v7 120641715 </vt:lpwstr>
  </property>
  <property fmtid="{D5CDD505-2E9C-101B-9397-08002B2CF9AE}" pid="3" name="DOCSDocNumber">
    <vt:lpwstr>42685715</vt:lpwstr>
  </property>
  <property fmtid="{D5CDD505-2E9C-101B-9397-08002B2CF9AE}" pid="4" name="DOCSDocumentID">
    <vt:lpwstr>A0142685715</vt:lpwstr>
  </property>
  <property fmtid="{D5CDD505-2E9C-101B-9397-08002B2CF9AE}" pid="5" name="DOCSMatterID">
    <vt:lpwstr>120641715</vt:lpwstr>
  </property>
  <property fmtid="{D5CDD505-2E9C-101B-9397-08002B2CF9AE}" pid="6" name="iManageDocFooter">
    <vt:lpwstr>LICM 142685715v9 120641715</vt:lpwstr>
  </property>
  <property fmtid="{D5CDD505-2E9C-101B-9397-08002B2CF9AE}" pid="7" name="iManageDocNum">
    <vt:lpwstr>142685715</vt:lpwstr>
  </property>
  <property fmtid="{D5CDD505-2E9C-101B-9397-08002B2CF9AE}" pid="8" name="iManageMatterNumber">
    <vt:lpwstr>120641715</vt:lpwstr>
  </property>
</Properties>
</file>